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5B" w:rsidRPr="00433A86" w:rsidRDefault="00A616C8" w:rsidP="00A616C8">
      <w:pPr>
        <w:pStyle w:val="Heading2"/>
        <w:numPr>
          <w:ilvl w:val="0"/>
          <w:numId w:val="0"/>
        </w:numPr>
        <w:ind w:left="1656"/>
        <w:jc w:val="both"/>
      </w:pPr>
      <w:bookmarkStart w:id="0" w:name="_GoBack"/>
      <w:bookmarkEnd w:id="0"/>
      <w:r w:rsidRPr="00433A86">
        <w:t xml:space="preserve">ANEXA </w:t>
      </w:r>
      <w:r w:rsidR="00F702C1">
        <w:t>10</w:t>
      </w:r>
      <w:r w:rsidRPr="00433A86">
        <w:t>.</w:t>
      </w:r>
      <w:r w:rsidR="00F702C1">
        <w:t>5</w:t>
      </w:r>
      <w:r w:rsidRPr="00433A86">
        <w:t xml:space="preserve"> – Listă explicativă termeni</w:t>
      </w:r>
    </w:p>
    <w:p w:rsidR="00EC3D5B" w:rsidRPr="00433A86" w:rsidRDefault="00EC3D5B" w:rsidP="00B856FB">
      <w:pPr>
        <w:jc w:val="both"/>
      </w:pPr>
    </w:p>
    <w:p w:rsidR="00EC3D5B" w:rsidRPr="00433A86" w:rsidRDefault="00DE7318" w:rsidP="00B856FB">
      <w:pPr>
        <w:jc w:val="both"/>
        <w:rPr>
          <w:szCs w:val="20"/>
        </w:rPr>
      </w:pPr>
      <w:r w:rsidRPr="00433A86">
        <w:rPr>
          <w:szCs w:val="20"/>
        </w:rPr>
        <w:t>Policitica de coeziune,</w:t>
      </w:r>
      <w:r w:rsidR="002F19EA" w:rsidRPr="00433A86">
        <w:rPr>
          <w:szCs w:val="20"/>
        </w:rPr>
        <w:t xml:space="preserve"> fonduri și instrume</w:t>
      </w:r>
      <w:r w:rsidRPr="00433A86">
        <w:rPr>
          <w:szCs w:val="20"/>
        </w:rPr>
        <w:t>n</w:t>
      </w:r>
      <w:r w:rsidR="002F19EA" w:rsidRPr="00433A86">
        <w:rPr>
          <w:szCs w:val="20"/>
        </w:rPr>
        <w:t>te structurale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BE3B5D"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BE3B5D">
            <w:pPr>
              <w:jc w:val="both"/>
              <w:rPr>
                <w:rFonts w:cs="EUAlbertina"/>
                <w:color w:val="000000"/>
                <w:szCs w:val="20"/>
              </w:rPr>
            </w:pPr>
            <w:r w:rsidRPr="00433A86">
              <w:rPr>
                <w:rFonts w:cs="EUAlbertina"/>
                <w:color w:val="000000"/>
                <w:szCs w:val="20"/>
              </w:rPr>
              <w:t>Acordul de parteneriat 2014-2020</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DE7318">
            <w:pPr>
              <w:spacing w:before="40" w:after="40"/>
              <w:ind w:left="170" w:right="170"/>
              <w:jc w:val="both"/>
              <w:rPr>
                <w:rFonts w:cs="EUAlbertina"/>
                <w:color w:val="000000"/>
                <w:szCs w:val="20"/>
              </w:rPr>
            </w:pPr>
            <w:r w:rsidRPr="00433A86">
              <w:rPr>
                <w:rFonts w:cs="EUAlbertina"/>
                <w:color w:val="000000"/>
                <w:szCs w:val="20"/>
              </w:rPr>
              <w:t xml:space="preserve">Document aprobat de Comisia Europeană, negociat în prealabil cu România, ca stat membru, reprezentând </w:t>
            </w:r>
            <w:r w:rsidRPr="00433A86">
              <w:rPr>
                <w:rStyle w:val="rvts9"/>
                <w:rFonts w:cs="EUAlbertina"/>
                <w:color w:val="000000"/>
                <w:szCs w:val="20"/>
              </w:rPr>
              <w:t>documentul de referinţă pentru programarea instrumentelor structurale, asigurând conformitatea intervenţiilor acestor fonduri cu orientările strategice comunitare privind coeziunea şi priorităţile naţionale de dezvoltare, precum şi legătura dintre priorităţile la nivel comunitar şi/sau alte programe naționale</w:t>
            </w:r>
            <w:r w:rsidRPr="00433A86">
              <w:rPr>
                <w:rFonts w:cs="EUAlbertina"/>
                <w:color w:val="000000"/>
                <w:szCs w:val="20"/>
              </w:rPr>
              <w:t>.</w:t>
            </w:r>
            <w:r w:rsidR="00734990" w:rsidRPr="00433A86">
              <w:rPr>
                <w:rFonts w:cs="EUAlbertina"/>
                <w:color w:val="000000"/>
                <w:szCs w:val="20"/>
              </w:rPr>
              <w:t xml:space="preserve"> Acordul de parteneriat prevede dispoziții pentru a asigura alinierea cu strategia uniunii pentru o creștere inteligentă, durabilă și favorabilă incluziunii, precum și cu misiunile specifice fondurilor în conformitate cu obiectivele lor bazate pe tratate ale UE, dispoziții pentru implementarea eficace și eficientă a fondurilor ESI și dispoziții privind aplicarea principiului parteneriatului și a unei abordări integrate a dezvoltării teritoriale.</w:t>
            </w:r>
          </w:p>
        </w:tc>
      </w:tr>
      <w:tr w:rsidR="00EC3D5B" w:rsidRPr="00433A86" w:rsidTr="00EC3D5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2F19EA" w:rsidRPr="00433A86" w:rsidRDefault="002F19EA" w:rsidP="00B856FB">
            <w:pPr>
              <w:jc w:val="both"/>
              <w:rPr>
                <w:szCs w:val="20"/>
              </w:rPr>
            </w:pPr>
            <w:r w:rsidRPr="00433A86">
              <w:rPr>
                <w:rFonts w:cs="EUAlbertina"/>
                <w:color w:val="000000"/>
                <w:szCs w:val="20"/>
              </w:rPr>
              <w:t xml:space="preserve">Fondurile ESI - </w:t>
            </w:r>
          </w:p>
          <w:p w:rsidR="00EC3D5B" w:rsidRPr="00433A86" w:rsidRDefault="00EC3D5B" w:rsidP="00B856FB">
            <w:pPr>
              <w:spacing w:before="60" w:after="60"/>
              <w:ind w:left="170" w:right="170"/>
              <w:jc w:val="both"/>
              <w:rPr>
                <w:szCs w:val="20"/>
              </w:rPr>
            </w:pP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EC3D5B" w:rsidRPr="00433A86" w:rsidRDefault="002F19EA" w:rsidP="00B856FB">
            <w:pPr>
              <w:spacing w:before="40" w:after="40"/>
              <w:ind w:left="170" w:right="170"/>
              <w:jc w:val="both"/>
              <w:rPr>
                <w:szCs w:val="20"/>
              </w:rPr>
            </w:pPr>
            <w:r w:rsidRPr="00433A86">
              <w:rPr>
                <w:rFonts w:cs="EUAlbertina"/>
                <w:color w:val="000000"/>
                <w:szCs w:val="20"/>
              </w:rPr>
              <w:t>Fondul european de dezvoltare regională (FEDR), Fondul social european (FSE), Fondul de coeziune, Fondul european agricol pentru dezvoltare rurală (FEADR) și Fondul european pentru pescuit și afaceri maritime (FEPAM), care funcționează în temeiul unui cadru comun („fondurile structurale și de investiții europene” – „fondurile ESI”).</w:t>
            </w:r>
          </w:p>
        </w:tc>
      </w:tr>
      <w:tr w:rsidR="009C14BB"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9C14BB" w:rsidRPr="00433A86" w:rsidRDefault="009C14BB" w:rsidP="009C14BB">
            <w:pPr>
              <w:jc w:val="both"/>
              <w:rPr>
                <w:szCs w:val="20"/>
              </w:rPr>
            </w:pPr>
            <w:r w:rsidRPr="00433A86">
              <w:rPr>
                <w:rFonts w:cs="EUAlbertina"/>
                <w:color w:val="000000"/>
                <w:szCs w:val="20"/>
              </w:rPr>
              <w:t>Dezvoltarea locală plasată sub responsabilitatea comunității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9C14BB" w:rsidRPr="00433A86" w:rsidRDefault="00254D30" w:rsidP="00DE7318">
            <w:pPr>
              <w:spacing w:before="40" w:after="40"/>
              <w:ind w:left="170" w:right="170"/>
              <w:jc w:val="both"/>
              <w:rPr>
                <w:rFonts w:eastAsia="SimSun"/>
                <w:bCs/>
                <w:szCs w:val="20"/>
              </w:rPr>
            </w:pPr>
            <w:r w:rsidRPr="00433A86">
              <w:rPr>
                <w:rFonts w:eastAsia="SimSun"/>
                <w:bCs/>
                <w:szCs w:val="20"/>
              </w:rPr>
              <w:t>CLLD este o noțiune utilizată de Comisia Europeană pentru a descrie o abordare „de jos în sus”, în care populația locală preia controlul și formează un parteneriat local. Acesta din urmă are rolul de a elabora și pune în aplicare o strategie de dezvoltare integrată. Strategia este concepută astfel încât să valorifice punctele forte sau „atuurile” sociale, de mediu și economice ale comunității, mai degrabă decât să compenseze problemele cu care se confruntă aceasta. În acest scop, parteneriatul beneficiază de finanțare pe termen lung și deține puterea de decizie cu privire la modul în care sunt cheltuite fondurile.</w:t>
            </w:r>
          </w:p>
          <w:p w:rsidR="00254D30" w:rsidRPr="00433A86" w:rsidRDefault="00254D30" w:rsidP="000F2B1E">
            <w:pPr>
              <w:spacing w:before="40" w:after="40"/>
              <w:ind w:left="170" w:right="170"/>
              <w:jc w:val="both"/>
              <w:rPr>
                <w:szCs w:val="20"/>
              </w:rPr>
            </w:pPr>
            <w:r w:rsidRPr="00433A86">
              <w:rPr>
                <w:szCs w:val="20"/>
              </w:rPr>
              <w:t>CLLD se axează pe anumite zone subregionale, fiind plasată sub responsabilitatea grupurilor de acțiune locală</w:t>
            </w:r>
            <w:r w:rsidR="000F2B1E" w:rsidRPr="00433A86">
              <w:rPr>
                <w:szCs w:val="20"/>
              </w:rPr>
              <w:t xml:space="preserve"> și</w:t>
            </w:r>
            <w:r w:rsidRPr="00433A86">
              <w:rPr>
                <w:szCs w:val="20"/>
              </w:rPr>
              <w:t xml:space="preserve"> realizată prin strategii de dezvoltare locală pe zone integrate și multisectoriale. CLLD este elaborată ținând cont de necesitățile și potențialul local și include caracteristici inovatoare în context local, colaborare în rețea și, după caz, cooperare.</w:t>
            </w:r>
          </w:p>
        </w:tc>
      </w:tr>
      <w:tr w:rsidR="00E82791"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E82791" w:rsidRPr="00433A86" w:rsidRDefault="00E82791" w:rsidP="009C14BB">
            <w:pPr>
              <w:jc w:val="both"/>
              <w:rPr>
                <w:rFonts w:cs="EUAlbertina"/>
                <w:color w:val="000000"/>
                <w:szCs w:val="20"/>
              </w:rPr>
            </w:pPr>
            <w:r w:rsidRPr="00433A86">
              <w:rPr>
                <w:rFonts w:cs="EUAlbertina"/>
                <w:color w:val="000000"/>
                <w:szCs w:val="20"/>
              </w:rPr>
              <w:t>Dezvoltare urbană durabilă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E82791" w:rsidRPr="00433A86" w:rsidRDefault="00E82791" w:rsidP="00DE7318">
            <w:pPr>
              <w:spacing w:before="40" w:after="40"/>
              <w:ind w:left="170" w:right="170"/>
              <w:jc w:val="both"/>
              <w:rPr>
                <w:rFonts w:eastAsia="SimSun"/>
                <w:bCs/>
                <w:szCs w:val="20"/>
              </w:rPr>
            </w:pPr>
            <w:r w:rsidRPr="00433A86">
              <w:rPr>
                <w:rFonts w:eastAsia="SimSun"/>
                <w:bCs/>
                <w:szCs w:val="20"/>
              </w:rPr>
              <w:t>FEDR sprijină dezvoltarea urbană durabilă prin strategii care stabilesc acțiuni integrate pentru a aborda provocări economice, sociale, climatice, demografice și de mediu care afectează zonele urbane, ținând seama de nevoia de a promova legăturile dintre urban și rural. Dezvoltarea urbană durabilă se poate realiza prin ITI sau printr-un program operațional specific sa</w:t>
            </w:r>
            <w:r w:rsidR="000F2B1E" w:rsidRPr="00433A86">
              <w:rPr>
                <w:rFonts w:eastAsia="SimSun"/>
                <w:bCs/>
                <w:szCs w:val="20"/>
              </w:rPr>
              <w:t>u</w:t>
            </w:r>
            <w:r w:rsidRPr="00433A86">
              <w:rPr>
                <w:rFonts w:eastAsia="SimSun"/>
                <w:bCs/>
                <w:szCs w:val="20"/>
              </w:rPr>
              <w:t xml:space="preserve"> printr-o axă prioritară specifică, detalierea acestor elemente fiind stabilită prin acordul de parteneriat.</w:t>
            </w:r>
          </w:p>
        </w:tc>
      </w:tr>
      <w:tr w:rsidR="00E359D9"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E359D9" w:rsidRPr="00433A86" w:rsidRDefault="00E359D9" w:rsidP="009C14BB">
            <w:pPr>
              <w:jc w:val="both"/>
              <w:rPr>
                <w:rFonts w:cs="EUAlbertina"/>
                <w:color w:val="000000"/>
                <w:szCs w:val="20"/>
              </w:rPr>
            </w:pPr>
            <w:r w:rsidRPr="00433A86">
              <w:rPr>
                <w:rFonts w:cs="EUAlbertina"/>
                <w:color w:val="000000"/>
                <w:szCs w:val="20"/>
              </w:rPr>
              <w:t>Investiții teritoriale integrate cu privire la Delta Dunării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E359D9" w:rsidRPr="00433A86" w:rsidRDefault="00ED45FC" w:rsidP="00254D30">
            <w:pPr>
              <w:spacing w:before="40" w:after="40"/>
              <w:ind w:left="170" w:right="170"/>
              <w:jc w:val="both"/>
              <w:rPr>
                <w:szCs w:val="20"/>
              </w:rPr>
            </w:pPr>
            <w:r w:rsidRPr="00433A86">
              <w:rPr>
                <w:szCs w:val="20"/>
              </w:rPr>
              <w:t>O investiție teritorială integrată presupune o nouă modalitate de finanțare a unei strategii de dezvoltare urbană/ strategie teritorială/  pact teritorial ce implică investiții din FSE, FEDR sau fondul de coeziune în mai multe axe prioritare ale unuia sau mai multor programe operaționale</w:t>
            </w:r>
            <w:r w:rsidR="00254D30" w:rsidRPr="00433A86">
              <w:rPr>
                <w:szCs w:val="20"/>
              </w:rPr>
              <w:t xml:space="preserve">. Instrumentul ITI și alocările financiare orientative din fiecare axă prioritară/program sunt în conformitate cu normele specifice fiecărui fond. </w:t>
            </w:r>
          </w:p>
        </w:tc>
      </w:tr>
      <w:tr w:rsidR="00BE3B5D"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9C14BB">
            <w:pPr>
              <w:spacing w:before="60" w:after="60"/>
              <w:ind w:right="170"/>
              <w:jc w:val="both"/>
              <w:rPr>
                <w:szCs w:val="20"/>
              </w:rPr>
            </w:pPr>
            <w:r w:rsidRPr="00433A86">
              <w:rPr>
                <w:szCs w:val="20"/>
              </w:rPr>
              <w:t>Program operaţional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DE7318">
            <w:pPr>
              <w:spacing w:before="40" w:after="40"/>
              <w:ind w:left="170" w:right="170"/>
              <w:jc w:val="both"/>
              <w:rPr>
                <w:szCs w:val="20"/>
              </w:rPr>
            </w:pPr>
            <w:r w:rsidRPr="00433A86">
              <w:rPr>
                <w:szCs w:val="20"/>
              </w:rPr>
              <w:t xml:space="preserve">Document strategic de programare elaborat de Statul Membru şi aprobat de Comisia Europeană, prin care este stabilită o strategie de dezvoltare </w:t>
            </w:r>
            <w:r w:rsidRPr="00433A86">
              <w:rPr>
                <w:szCs w:val="20"/>
              </w:rPr>
              <w:lastRenderedPageBreak/>
              <w:t>sectorială sau regională printr-un set de priorităţi coerente.</w:t>
            </w:r>
          </w:p>
        </w:tc>
      </w:tr>
      <w:tr w:rsidR="00BE3B5D"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9C14BB">
            <w:pPr>
              <w:spacing w:before="60" w:after="60"/>
              <w:ind w:right="170"/>
              <w:jc w:val="both"/>
              <w:rPr>
                <w:szCs w:val="20"/>
              </w:rPr>
            </w:pPr>
            <w:r w:rsidRPr="00433A86">
              <w:rPr>
                <w:szCs w:val="20"/>
              </w:rPr>
              <w:lastRenderedPageBreak/>
              <w:t>Programul Operaţional Regional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DE7318">
            <w:pPr>
              <w:spacing w:before="40" w:after="40"/>
              <w:ind w:left="170" w:right="170"/>
              <w:jc w:val="both"/>
              <w:rPr>
                <w:szCs w:val="20"/>
              </w:rPr>
            </w:pPr>
            <w:r w:rsidRPr="00433A86">
              <w:rPr>
                <w:szCs w:val="20"/>
              </w:rPr>
              <w:t>Program care implementează elemente importante ale Strategiei Naţionale de Dezvoltare Regională a Planului Naţional de Dezvoltare, contribuind, alături de celelalte programe operaţionale, la realizarea obiectivului Strategiei Naţionale de Dezvoltare Regională a PND şi Cadrului Naţional Strategic de Referinţă, anume diminuarea disparităţilor între regiunile de dezvoltare ale României.</w:t>
            </w:r>
          </w:p>
        </w:tc>
      </w:tr>
      <w:tr w:rsidR="00BE3B5D"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9C14BB">
            <w:pPr>
              <w:spacing w:before="60" w:after="60"/>
              <w:ind w:right="170"/>
              <w:jc w:val="both"/>
              <w:rPr>
                <w:szCs w:val="20"/>
              </w:rPr>
            </w:pPr>
            <w:r w:rsidRPr="00433A86">
              <w:rPr>
                <w:szCs w:val="20"/>
              </w:rPr>
              <w:t>Regiuni de dezvoltare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433A86" w:rsidRDefault="00BE3B5D" w:rsidP="00DE7318">
            <w:pPr>
              <w:spacing w:before="40" w:after="40"/>
              <w:ind w:left="170" w:right="170"/>
              <w:jc w:val="both"/>
              <w:rPr>
                <w:szCs w:val="20"/>
              </w:rPr>
            </w:pPr>
            <w:r w:rsidRPr="00433A86">
              <w:rPr>
                <w:szCs w:val="20"/>
              </w:rPr>
              <w:t>Unităţi teritorial - statistice, alcătuite din prin asocierea liberă/voluntară a judeţelor. Ele corespund nivelului NUTS II în Nomenclatorul Unităţilor Statistice Teritoriale (NUTS) ale EUROSTAT, pentru care se colectează date statistice specifice, în conformitate cu reglementările EUROSTAT pentru teritoriile de nivel NUTS II. În România există 8 astfel de regiuni de dezvoltare.</w:t>
            </w:r>
          </w:p>
        </w:tc>
      </w:tr>
      <w:tr w:rsidR="00174F2C"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174F2C" w:rsidRPr="00433A86" w:rsidRDefault="00174F2C" w:rsidP="009C14BB">
            <w:pPr>
              <w:spacing w:before="60" w:after="60"/>
              <w:ind w:right="170"/>
              <w:jc w:val="both"/>
              <w:rPr>
                <w:szCs w:val="20"/>
              </w:rPr>
            </w:pPr>
            <w:r>
              <w:rPr>
                <w:szCs w:val="20"/>
              </w:rPr>
              <w:t>Indicatori de rezultat</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174F2C" w:rsidRPr="00433A86" w:rsidRDefault="003B0DA1" w:rsidP="003B0DA1">
            <w:pPr>
              <w:spacing w:before="40" w:after="40"/>
              <w:ind w:left="170" w:right="170"/>
              <w:jc w:val="both"/>
              <w:rPr>
                <w:szCs w:val="20"/>
              </w:rPr>
            </w:pPr>
            <w:r>
              <w:rPr>
                <w:szCs w:val="20"/>
              </w:rPr>
              <w:t xml:space="preserve">Indicatorii de rezultat </w:t>
            </w:r>
            <w:r>
              <w:t>măsoară beneficiul real al rezultatelor imediate asupra grupului ţintă.</w:t>
            </w:r>
          </w:p>
        </w:tc>
      </w:tr>
      <w:tr w:rsidR="00174F2C" w:rsidRPr="00433A86"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174F2C" w:rsidRDefault="00174F2C" w:rsidP="00ED6E1F">
            <w:pPr>
              <w:spacing w:before="60" w:after="60"/>
              <w:ind w:right="170"/>
              <w:jc w:val="both"/>
              <w:rPr>
                <w:szCs w:val="20"/>
              </w:rPr>
            </w:pPr>
            <w:r>
              <w:rPr>
                <w:szCs w:val="20"/>
              </w:rPr>
              <w:t>Indicatori de output</w:t>
            </w:r>
            <w:r w:rsidR="003B0DA1">
              <w:rPr>
                <w:szCs w:val="20"/>
              </w:rPr>
              <w:t xml:space="preserve"> </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174F2C" w:rsidRPr="00433A86" w:rsidRDefault="003B0DA1" w:rsidP="00ED6E1F">
            <w:pPr>
              <w:spacing w:before="40" w:after="40"/>
              <w:ind w:left="170" w:right="170"/>
              <w:jc w:val="both"/>
              <w:rPr>
                <w:szCs w:val="20"/>
              </w:rPr>
            </w:pPr>
            <w:r>
              <w:t xml:space="preserve">Indicatorii de </w:t>
            </w:r>
            <w:r w:rsidR="00ED6E1F">
              <w:t>output</w:t>
            </w:r>
            <w:r>
              <w:t xml:space="preserve"> măsoară </w:t>
            </w:r>
            <w:r w:rsidR="00ED6E1F">
              <w:t>produsele directe ale activităţilor unui program, tot ceea ce a fost obţinut prin consumarea resurselor alocate.</w:t>
            </w:r>
          </w:p>
        </w:tc>
      </w:tr>
    </w:tbl>
    <w:p w:rsidR="00EC3D5B" w:rsidRPr="00433A86" w:rsidRDefault="00EC3D5B" w:rsidP="00B856FB">
      <w:pPr>
        <w:jc w:val="both"/>
        <w:rPr>
          <w:b/>
          <w:bCs/>
          <w:szCs w:val="20"/>
        </w:rPr>
      </w:pPr>
      <w:r w:rsidRPr="00433A86">
        <w:rPr>
          <w:b/>
          <w:bCs/>
          <w:szCs w:val="20"/>
        </w:rPr>
        <w:t>Programul Operaţional Regional – instituţii, structuri, documente</w:t>
      </w:r>
    </w:p>
    <w:p w:rsidR="00EC6825" w:rsidRPr="00433A86" w:rsidRDefault="00EC6825" w:rsidP="00B856FB">
      <w:pPr>
        <w:jc w:val="both"/>
        <w:rPr>
          <w:b/>
          <w:bCs/>
          <w:szCs w:val="20"/>
        </w:rPr>
      </w:pPr>
    </w:p>
    <w:tbl>
      <w:tblPr>
        <w:tblW w:w="965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7425"/>
      </w:tblGrid>
      <w:tr w:rsidR="00FC3E58"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FC3E58" w:rsidRPr="00433A86" w:rsidRDefault="00FC3E58" w:rsidP="00B856FB">
            <w:pPr>
              <w:spacing w:before="60" w:after="60"/>
              <w:ind w:left="170" w:right="170"/>
              <w:jc w:val="both"/>
              <w:rPr>
                <w:szCs w:val="20"/>
              </w:rPr>
            </w:pPr>
            <w:r w:rsidRPr="00433A86">
              <w:rPr>
                <w:szCs w:val="20"/>
              </w:rPr>
              <w:t>Accelerator de afaceri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FC3E58" w:rsidRPr="00433A86" w:rsidRDefault="000A426B" w:rsidP="00B856FB">
            <w:pPr>
              <w:spacing w:before="40" w:after="40"/>
              <w:ind w:left="170" w:right="170"/>
              <w:jc w:val="both"/>
              <w:rPr>
                <w:szCs w:val="20"/>
              </w:rPr>
            </w:pPr>
            <w:r w:rsidRPr="00726D65">
              <w:t>Acceleratorul de afaceri reprezintă incubatorul de afaceri care asigură accesul la fonduri, în etape, pentru rezidenţi, în scopul lansării pe piaţă a unui produs sau serviciu într-o perioadă scurtă de timp.</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Agenţie pentru Dezvoltare Regională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Organism neguvernamental, nonprofit, de utilitate publică, cu personalitate juridică, ce funcţionează în domeniul dezvoltării regionale şi care se organizează şi funcţionează în condiţiile Legii nr. 315/2004</w:t>
            </w:r>
            <w:r w:rsidRPr="00433A86">
              <w:rPr>
                <w:rStyle w:val="FootnoteReference"/>
                <w:szCs w:val="20"/>
              </w:rPr>
              <w:footnoteReference w:id="1"/>
            </w:r>
            <w:r w:rsidRPr="00433A86">
              <w:rPr>
                <w:szCs w:val="20"/>
              </w:rPr>
              <w:t xml:space="preserve"> privind dezvoltarea regională în România, cu modificările şi completările ulterioare.</w:t>
            </w:r>
          </w:p>
          <w:p w:rsidR="00EC3D5B" w:rsidRPr="00433A86" w:rsidRDefault="00EC3D5B" w:rsidP="00B856FB">
            <w:pPr>
              <w:spacing w:before="40" w:after="40"/>
              <w:ind w:left="170" w:right="170"/>
              <w:jc w:val="both"/>
              <w:rPr>
                <w:szCs w:val="20"/>
              </w:rPr>
            </w:pPr>
            <w:r w:rsidRPr="00433A86">
              <w:rPr>
                <w:szCs w:val="20"/>
              </w:rPr>
              <w:t>Conform prevederilor HG nr.457/2008, ADR-urile au fost desemnate Organisme intermediare pentru Programul Operaţional Regional.</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Asociaţie de dezvoltare intercomunitară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rStyle w:val="rvts9"/>
                <w:rFonts w:cs="Tahoma"/>
                <w:szCs w:val="20"/>
              </w:rPr>
            </w:pPr>
            <w:r w:rsidRPr="00433A86">
              <w:rPr>
                <w:rStyle w:val="rvts9"/>
                <w:rFonts w:cs="Tahoma"/>
                <w:szCs w:val="20"/>
              </w:rPr>
              <w:t>Conform art.1, alin.2, lit.c) din Legea nr.215/2001 privind administraţia publică locală, cu modificările şi completările ulterioare, Asociaţia de dezvoltare intercomunitară reprezintă o structură de cooperare cu personalitate juridică, de drept privat, înfiinţată, în condiţiile legii, de unităţile administrativ-teritoriale, pentru realizarea în comun a unor proiecte de dezvoltare de interes zonal sau regional ori furnizarea în comun a unor servicii publice.</w:t>
            </w:r>
          </w:p>
          <w:p w:rsidR="00EC3D5B" w:rsidRPr="00433A86" w:rsidRDefault="00EC3D5B" w:rsidP="00B856FB">
            <w:pPr>
              <w:spacing w:before="40" w:after="40"/>
              <w:ind w:left="170" w:right="170"/>
              <w:jc w:val="both"/>
              <w:rPr>
                <w:szCs w:val="20"/>
                <w:lang w:val="en-US"/>
              </w:rPr>
            </w:pPr>
            <w:r w:rsidRPr="00433A86">
              <w:rPr>
                <w:rStyle w:val="rvts9"/>
                <w:rFonts w:cs="Tahoma"/>
                <w:szCs w:val="20"/>
              </w:rPr>
              <w:t xml:space="preserve">Conform art.2 lit.a) din Legea nr.51/2006 privind serviciile comunitare de utilităţi publice, cu modificările şi completările ulterioare, </w:t>
            </w:r>
            <w:r w:rsidRPr="00433A86">
              <w:rPr>
                <w:rStyle w:val="rvts9"/>
                <w:rFonts w:cs="Tahoma"/>
                <w:i/>
                <w:iCs/>
                <w:szCs w:val="20"/>
              </w:rPr>
              <w:t>Asociaţia de dezvoltare intercomunitară cu obiect de activitate serviciile de utilităţi publice</w:t>
            </w:r>
            <w:r w:rsidRPr="00433A86">
              <w:rPr>
                <w:rStyle w:val="rvts9"/>
                <w:rFonts w:cs="Tahoma"/>
                <w:szCs w:val="20"/>
              </w:rPr>
              <w:t xml:space="preserve"> reprezintă asociaţia de dezvoltare intercomunitară definită potrivit prevederilor Legii administraţiei publice locale nr.215/2001, republicată, având ca obiectiv înfiinţarea, organizarea, reglementarea, finanţarea, exploatarea, monitorizarea şi gestionarea în comun a serviciilor de utilităţi publice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acestor servicii.</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70" w:right="170"/>
              <w:rPr>
                <w:rFonts w:cs="Arial"/>
                <w:szCs w:val="20"/>
              </w:rPr>
            </w:pPr>
            <w:r w:rsidRPr="00433A86">
              <w:rPr>
                <w:rFonts w:cs="Arial"/>
                <w:szCs w:val="20"/>
              </w:rPr>
              <w:t xml:space="preserve">Autoritate a administraţiei </w:t>
            </w:r>
            <w:r w:rsidRPr="00433A86">
              <w:rPr>
                <w:rFonts w:cs="Arial"/>
                <w:szCs w:val="20"/>
              </w:rPr>
              <w:lastRenderedPageBreak/>
              <w:t>publice locale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40" w:after="40"/>
              <w:ind w:left="170" w:right="170"/>
              <w:rPr>
                <w:rFonts w:cs="Arial"/>
                <w:szCs w:val="20"/>
              </w:rPr>
            </w:pPr>
            <w:r w:rsidRPr="00433A86">
              <w:rPr>
                <w:rFonts w:eastAsia="Arial Unicode MS" w:cs="Arial"/>
                <w:szCs w:val="20"/>
              </w:rPr>
              <w:lastRenderedPageBreak/>
              <w:t xml:space="preserve">În înţelesul prezentului Ghid, reprezintă Consiliile locale ale oraşelor, municipiilor, sectoarelor municipiului Bucureşti, consiliile judeţene şi </w:t>
            </w:r>
            <w:r w:rsidRPr="00433A86">
              <w:rPr>
                <w:rFonts w:eastAsia="Arial Unicode MS" w:cs="Arial"/>
                <w:szCs w:val="20"/>
              </w:rPr>
              <w:lastRenderedPageBreak/>
              <w:t>Consiliul General al Municipiului Bucureşti, ca autorităţi deliberative, primarii ca autorităţi executive (Legea administraţiei publice locale nr. 215/2001</w:t>
            </w:r>
            <w:r w:rsidRPr="00433A86">
              <w:rPr>
                <w:rStyle w:val="FootnoteReference"/>
                <w:rFonts w:eastAsia="Arial Unicode MS" w:cs="Arial"/>
                <w:szCs w:val="20"/>
              </w:rPr>
              <w:footnoteReference w:id="2"/>
            </w:r>
            <w:r w:rsidRPr="00433A86">
              <w:rPr>
                <w:rFonts w:eastAsia="Arial Unicode MS" w:cs="Arial"/>
                <w:szCs w:val="20"/>
              </w:rPr>
              <w:t>, republicată).</w:t>
            </w:r>
          </w:p>
        </w:tc>
      </w:tr>
      <w:tr w:rsidR="00AE1373" w:rsidRPr="00433A86" w:rsidTr="00AE1373">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AE1373">
            <w:pPr>
              <w:pStyle w:val="Normal1"/>
              <w:ind w:left="170" w:right="170"/>
              <w:rPr>
                <w:rFonts w:cs="Arial"/>
                <w:szCs w:val="20"/>
              </w:rPr>
            </w:pPr>
            <w:r w:rsidRPr="00433A86">
              <w:rPr>
                <w:rFonts w:cs="Arial"/>
                <w:szCs w:val="20"/>
              </w:rPr>
              <w:lastRenderedPageBreak/>
              <w:t>Unităţi administrativ- teritoriale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AE1373">
            <w:pPr>
              <w:pStyle w:val="Normal1"/>
              <w:spacing w:before="40" w:after="40"/>
              <w:ind w:left="170" w:right="170"/>
              <w:rPr>
                <w:rFonts w:eastAsia="Arial Unicode MS" w:cs="Arial"/>
                <w:szCs w:val="20"/>
              </w:rPr>
            </w:pPr>
            <w:r w:rsidRPr="00433A86">
              <w:rPr>
                <w:rFonts w:eastAsia="Arial Unicode MS" w:cs="Arial"/>
                <w:szCs w:val="20"/>
              </w:rPr>
              <w:t>Consiliile locale ale comunelor, oraşelor, municipiilor, sectoarelor municipiului Bucureşti, ca autorităţi deliberative, primarii ca autorităţi executive, consiliile judeţene şi Consiliul General al Municipiului Bucureşti, ca autorităţi ale administraţiei publice locale, pentru coordonarea activităţii consiliilor comunale, orăşeneşti şi municipale, în vederea realizării serviciilor publice de interes judeţean, în conformitate cu prevederile Legii administraţiei publice locale nr. 215/ 2001,</w:t>
            </w:r>
            <w:r w:rsidRPr="00433A86">
              <w:rPr>
                <w:rStyle w:val="FootnoteReference"/>
                <w:rFonts w:eastAsia="Arial Unicode MS" w:cs="Arial"/>
                <w:szCs w:val="20"/>
                <w:vertAlign w:val="baseline"/>
              </w:rPr>
              <w:footnoteReference w:id="3"/>
            </w:r>
            <w:r w:rsidRPr="00433A86">
              <w:rPr>
                <w:rFonts w:eastAsia="Arial Unicode MS" w:cs="Arial"/>
                <w:szCs w:val="20"/>
              </w:rPr>
              <w:t>cu modificările şi completările ulterioare.</w:t>
            </w:r>
          </w:p>
        </w:tc>
      </w:tr>
      <w:tr w:rsidR="00AE1373" w:rsidRPr="00433A86" w:rsidTr="00AE1373">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AE1373">
            <w:pPr>
              <w:pStyle w:val="Normal1"/>
              <w:ind w:left="170" w:right="170"/>
              <w:rPr>
                <w:rFonts w:cs="Arial"/>
                <w:szCs w:val="20"/>
              </w:rPr>
            </w:pPr>
            <w:r w:rsidRPr="00433A86">
              <w:rPr>
                <w:rFonts w:cs="Arial"/>
                <w:szCs w:val="20"/>
              </w:rPr>
              <w:t>Utilităţi publice (servicii comunitare de utilităţi publice / infrastructura de utilităţi publice)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AE1373">
            <w:pPr>
              <w:pStyle w:val="Normal1"/>
              <w:spacing w:before="40" w:after="40"/>
              <w:ind w:left="170" w:right="170"/>
              <w:rPr>
                <w:rFonts w:eastAsia="Arial Unicode MS" w:cs="Arial"/>
                <w:szCs w:val="20"/>
              </w:rPr>
            </w:pPr>
            <w:r w:rsidRPr="00433A86">
              <w:rPr>
                <w:rFonts w:eastAsia="Arial Unicode MS" w:cs="Arial"/>
                <w:szCs w:val="20"/>
              </w:rPr>
              <w:t>Totalitatea activităţilor de utilitate şi interes public general, desfăşurate la nivelul comunelor, oraşelor, municipiilor sau judeţelor sub conducerea, coordonarea şi responsabilitatea autorităţilor administraţiei publice locale, în scopul satisfacerii cerinţelor comunităţilor locale, prin care se asigură următoarele utilităţi: alimentarea cu apă; canalizarea şi epurarea apelor uzate; colectarea, canalizarea şi evacuarea apelor pluviale; producţia, transportul, distribuţia şi furnizarea de energie termică în sistem centralizat; salubrizarea localităţilor; iluminatul public; administrarea domeniului public şi privat al unităţilor administrativ - teritoriale, precum şi altele asemenea; transportul public local.</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Autoritatea de Audit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Autoritatea publică, la nivel naţional, responsabilă cu verificarea operaţiunilor de management şi a sistemului de control pentru fiecare program operaţional, independentă funcţional de Autoritatea de Management şi de Autoritatea de Certificare. În România, pentru toate programele operaţionale, Autoritatea de Audit funcţionează pe lângă Curtea de Conturi.</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Autoritatea de Certificare şi Plată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Structură organizatorică în cadrul Ministerului Finanţelor</w:t>
            </w:r>
            <w:r w:rsidR="002F19EA" w:rsidRPr="00433A86">
              <w:rPr>
                <w:szCs w:val="20"/>
              </w:rPr>
              <w:t xml:space="preserve"> Publice</w:t>
            </w:r>
            <w:r w:rsidRPr="00433A86">
              <w:rPr>
                <w:szCs w:val="20"/>
              </w:rPr>
              <w:t>,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w:t>
            </w:r>
            <w:r w:rsidR="002F19EA" w:rsidRPr="00433A86">
              <w:rPr>
                <w:szCs w:val="20"/>
              </w:rPr>
              <w:t xml:space="preserve"> alocate de la bugetul de stat </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rFonts w:eastAsia="Arial Unicode MS"/>
                <w:szCs w:val="20"/>
              </w:rPr>
            </w:pPr>
            <w:r w:rsidRPr="00433A86">
              <w:rPr>
                <w:szCs w:val="20"/>
              </w:rPr>
              <w:t>Autoritatea de management pentru Programul Operaţional Regional (AMPOR)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rFonts w:eastAsia="Arial Unicode MS"/>
                <w:szCs w:val="20"/>
              </w:rPr>
            </w:pPr>
            <w:r w:rsidRPr="00433A86">
              <w:rPr>
                <w:szCs w:val="20"/>
              </w:rPr>
              <w:t>Ministerul Dezvoltării</w:t>
            </w:r>
            <w:r w:rsidR="002F19EA" w:rsidRPr="00433A86">
              <w:rPr>
                <w:szCs w:val="20"/>
              </w:rPr>
              <w:t xml:space="preserve"> Regionale și Administrației Publice</w:t>
            </w:r>
            <w:r w:rsidRPr="00433A86">
              <w:rPr>
                <w:szCs w:val="20"/>
              </w:rPr>
              <w:t xml:space="preserve"> are responsabilitatea managementului, gestionării şi implementării asistenţei financiare din instrumente structurale ale Uniunii Europene pentru Programul Operaţional Regional în cadrul perioadei de programare 20</w:t>
            </w:r>
            <w:r w:rsidR="002F19EA" w:rsidRPr="00433A86">
              <w:rPr>
                <w:szCs w:val="20"/>
              </w:rPr>
              <w:t>14</w:t>
            </w:r>
            <w:r w:rsidRPr="00433A86">
              <w:rPr>
                <w:szCs w:val="20"/>
              </w:rPr>
              <w:t xml:space="preserve"> – 20</w:t>
            </w:r>
            <w:r w:rsidR="002F19EA" w:rsidRPr="00433A86">
              <w:rPr>
                <w:szCs w:val="20"/>
              </w:rPr>
              <w:t>20</w:t>
            </w:r>
            <w:r w:rsidRPr="00433A86">
              <w:rPr>
                <w:szCs w:val="20"/>
              </w:rPr>
              <w:t>, în conformitate cu prevederile Hotărârii de Guvern nr. 457/2008</w:t>
            </w:r>
            <w:r w:rsidRPr="00433A86">
              <w:rPr>
                <w:rStyle w:val="FootnoteReference"/>
                <w:szCs w:val="20"/>
              </w:rPr>
              <w:footnoteReference w:id="4"/>
            </w:r>
            <w:r w:rsidRPr="00433A86">
              <w:rPr>
                <w:szCs w:val="20"/>
              </w:rPr>
              <w:t xml:space="preserve"> privind cadrul instituţional de coordonare şi de gestionare a instrumentelor structurale şi ale Hotărârii de Guvern nr. 361/2007</w:t>
            </w:r>
            <w:r w:rsidRPr="00433A86">
              <w:rPr>
                <w:rStyle w:val="FootnoteReference"/>
                <w:szCs w:val="20"/>
              </w:rPr>
              <w:footnoteReference w:id="5"/>
            </w:r>
            <w:r w:rsidRPr="00433A86">
              <w:rPr>
                <w:szCs w:val="20"/>
              </w:rPr>
              <w:t xml:space="preserve"> privind organizarea şi funcţionarea Ministerului Dezvoltării, Lucrărilor Publice şi Locuinţelor, cu modificările şi completările ulterioare.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Axă prioritară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Una dintre priorităţile strategice dintr-un program operaţional; cuprinde un grup de operaţiuni legate între ele şi având obiective specifice măsurabile</w:t>
            </w:r>
            <w:r w:rsidR="00734990" w:rsidRPr="00433A86">
              <w:rPr>
                <w:szCs w:val="20"/>
              </w:rPr>
              <w:t>.</w:t>
            </w:r>
            <w:r w:rsidRPr="00433A86">
              <w:rPr>
                <w:szCs w:val="20"/>
              </w:rPr>
              <w:t xml:space="preserve"> </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 xml:space="preserve">Beneficiar </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bCs/>
                <w:szCs w:val="20"/>
              </w:rPr>
              <w:t xml:space="preserve">Persoana juridică sau asociaţia de persoane juridice care beneficiază de asistenţa financiară nerambursabilă prin Programul Operaţional Regional şi cu care AMPOR, prin Organismul Intermediar, încheie contractul de finanţare. </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Cerere de finanţare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Formularul completat de către solicitant, pentru fiecare proiect individual, în vederea obţinerii finanţării prin Programul Operaţional Regional pentru proiectul respectiv.</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lastRenderedPageBreak/>
              <w:t>Cerere de proiecte</w:t>
            </w:r>
            <w:r w:rsidR="002F19EA" w:rsidRPr="00433A86">
              <w:rPr>
                <w:szCs w:val="20"/>
              </w:rPr>
              <w:t xml:space="preserve">/ Apel de proiecte </w:t>
            </w:r>
            <w:r w:rsidRPr="00433A86">
              <w:rPr>
                <w:szCs w:val="20"/>
              </w:rPr>
              <w:t>cu termen limită de depunere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bCs/>
                <w:szCs w:val="20"/>
              </w:rPr>
              <w:t xml:space="preserve">Invitaţie publică adresată de către Autoritatea de Management / Organismul intermediar pentru POR unei categorii clar identificate de potenţiali solicitanţi, în vederea depunerii, într-o perioadă de timp specificată, a cererilor de finanţare pentru proiecte, în cadrul </w:t>
            </w:r>
            <w:r w:rsidR="002F19EA" w:rsidRPr="00433A86">
              <w:rPr>
                <w:bCs/>
                <w:szCs w:val="20"/>
              </w:rPr>
              <w:t>uneipriorități de investiții/axe prioritare</w:t>
            </w:r>
            <w:r w:rsidRPr="00433A86">
              <w:rPr>
                <w:bCs/>
                <w:szCs w:val="20"/>
              </w:rPr>
              <w:t xml:space="preserve"> din Programul Operaţional Regional 20</w:t>
            </w:r>
            <w:r w:rsidR="002F19EA" w:rsidRPr="00433A86">
              <w:rPr>
                <w:bCs/>
                <w:szCs w:val="20"/>
              </w:rPr>
              <w:t>14</w:t>
            </w:r>
            <w:r w:rsidRPr="00433A86">
              <w:rPr>
                <w:bCs/>
                <w:szCs w:val="20"/>
              </w:rPr>
              <w:t xml:space="preserve"> - 20</w:t>
            </w:r>
            <w:r w:rsidR="002F19EA" w:rsidRPr="00433A86">
              <w:rPr>
                <w:bCs/>
                <w:szCs w:val="20"/>
              </w:rPr>
              <w:t>20</w:t>
            </w:r>
            <w:r w:rsidRPr="00433A86">
              <w:rPr>
                <w:szCs w:val="20"/>
              </w:rPr>
              <w:t>.</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Comitet de Monitorizare pentru POR (CMPOR)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B856FB" w:rsidRPr="00433A86" w:rsidRDefault="00EC3D5B" w:rsidP="00B856FB">
            <w:pPr>
              <w:spacing w:before="40" w:after="40"/>
              <w:ind w:left="170" w:right="170"/>
              <w:jc w:val="both"/>
              <w:rPr>
                <w:szCs w:val="20"/>
              </w:rPr>
            </w:pPr>
            <w:r w:rsidRPr="00433A86">
              <w:rPr>
                <w:szCs w:val="20"/>
              </w:rPr>
              <w:t>Structură naţională de tip partenerial fără personalitate juridică, cu rol decizional şi strategic în procesul de implementare a Programului operaţional regional 20</w:t>
            </w:r>
            <w:r w:rsidR="00B856FB" w:rsidRPr="00433A86">
              <w:rPr>
                <w:szCs w:val="20"/>
              </w:rPr>
              <w:t>14</w:t>
            </w:r>
            <w:r w:rsidRPr="00433A86">
              <w:rPr>
                <w:szCs w:val="20"/>
              </w:rPr>
              <w:t>-20</w:t>
            </w:r>
            <w:r w:rsidR="00B856FB" w:rsidRPr="00433A86">
              <w:rPr>
                <w:szCs w:val="20"/>
              </w:rPr>
              <w:t>20</w:t>
            </w:r>
            <w:r w:rsidRPr="00433A86">
              <w:rPr>
                <w:szCs w:val="20"/>
              </w:rPr>
              <w:t xml:space="preserve">. CMPOR are rolul de a asigura eficacitatea şi calitatea implementării programului. CMPOR se organizează conform Hotărârii de Guvern nr. </w:t>
            </w:r>
            <w:r w:rsidR="00B856FB" w:rsidRPr="00433A86">
              <w:rPr>
                <w:szCs w:val="20"/>
              </w:rPr>
              <w:t>............</w:t>
            </w:r>
            <w:r w:rsidRPr="00433A86">
              <w:rPr>
                <w:szCs w:val="20"/>
              </w:rPr>
              <w:t xml:space="preserve"> privind aprobarea constituirii Comitetului de monitorizare a Programului Operaţional Regional 20</w:t>
            </w:r>
            <w:r w:rsidR="00B856FB" w:rsidRPr="00433A86">
              <w:rPr>
                <w:szCs w:val="20"/>
              </w:rPr>
              <w:t>14</w:t>
            </w:r>
            <w:r w:rsidRPr="00433A86">
              <w:rPr>
                <w:szCs w:val="20"/>
              </w:rPr>
              <w:t>-20</w:t>
            </w:r>
            <w:r w:rsidR="00B856FB" w:rsidRPr="00433A86">
              <w:rPr>
                <w:szCs w:val="20"/>
              </w:rPr>
              <w:t>20</w:t>
            </w:r>
            <w:r w:rsidRPr="00433A86">
              <w:rPr>
                <w:szCs w:val="20"/>
              </w:rPr>
              <w:t xml:space="preserve">, şi a Regulamentului cadru de organizare şi funcţionare al acestuia </w:t>
            </w:r>
          </w:p>
          <w:p w:rsidR="00B856FB" w:rsidRPr="00433A86" w:rsidRDefault="00B856FB" w:rsidP="00B856FB">
            <w:pPr>
              <w:spacing w:before="40" w:after="40"/>
              <w:ind w:left="170" w:right="170"/>
              <w:jc w:val="both"/>
              <w:rPr>
                <w:szCs w:val="20"/>
              </w:rPr>
            </w:pPr>
          </w:p>
          <w:p w:rsidR="00B856FB" w:rsidRPr="00433A86" w:rsidRDefault="00EC3D5B" w:rsidP="00B856FB">
            <w:pPr>
              <w:spacing w:before="40" w:after="40"/>
              <w:ind w:left="170" w:right="170"/>
              <w:jc w:val="both"/>
              <w:rPr>
                <w:szCs w:val="20"/>
              </w:rPr>
            </w:pPr>
            <w:r w:rsidRPr="00433A86">
              <w:rPr>
                <w:szCs w:val="20"/>
              </w:rPr>
              <w:t xml:space="preserve">Procesele verbale ale şedinţelor CMPOR şi Hotărârile CMPOR pot fi consultate pe website-ul POR, </w:t>
            </w:r>
            <w:hyperlink r:id="rId8" w:history="1">
              <w:r w:rsidRPr="00433A86">
                <w:rPr>
                  <w:rStyle w:val="Hyperlink"/>
                  <w:szCs w:val="20"/>
                </w:rPr>
                <w:t>http://www.inforegio.ro</w:t>
              </w:r>
            </w:hyperlink>
            <w:r w:rsidRPr="00433A86">
              <w:rPr>
                <w:szCs w:val="20"/>
              </w:rPr>
              <w:t xml:space="preserve"> </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70" w:right="170"/>
              <w:rPr>
                <w:rFonts w:cs="Arial"/>
                <w:szCs w:val="20"/>
              </w:rPr>
            </w:pPr>
            <w:r w:rsidRPr="00433A86">
              <w:rPr>
                <w:rFonts w:cs="Arial"/>
                <w:szCs w:val="20"/>
              </w:rPr>
              <w:t>Conflict de interese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40" w:after="40"/>
              <w:ind w:left="170" w:right="170"/>
              <w:rPr>
                <w:rFonts w:cs="Arial"/>
                <w:szCs w:val="20"/>
              </w:rPr>
            </w:pPr>
            <w:r w:rsidRPr="00433A86">
              <w:rPr>
                <w:rFonts w:cs="Arial"/>
                <w:szCs w:val="20"/>
              </w:rPr>
              <w:t>Conform Ghidului Organizaţiei pentru Cooperare şi Dezvoltare Economică (OECD), conflictul de interese implică un conflict între datoria faţă de organizaţia în care îşi desfăşoară activitatea şi interesele personale ale unui angajat, în care angajatul are interese în calitatea sa de persoană privată, care ar putea influenţa în mod necorespunzător îndeplinirea obligaţiilor şi responsabilităţilor de serviciu (Ghidul OECD pentru rezolvarea conflictului de interese în administraţia publică, iunie 2003).</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Contract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Actul juridic cu titlu oneros, încheiat între beneficiar şi contractor, în vederea execuţiei unei lucrări, furnizării unor produse sau prestării unor servicii.</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Contract de finanţare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 xml:space="preserve">Actul juridic cu titlu oneros, încheiat între Autoritatea de management, prin Organismul intermediar, şi beneficiar, prin care se aprobă spre finanţare, în cadrul Programului Operaţional Regional, un proiect inclus </w:t>
            </w:r>
            <w:r w:rsidR="00B856FB" w:rsidRPr="00433A86">
              <w:rPr>
                <w:szCs w:val="20"/>
              </w:rPr>
              <w:t>ce a fost selectat în urma procesului de evaluare și selecție, în anumite condiţii.</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Contractor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 xml:space="preserve">Persoana fizică sau juridică, de drept public sau privat, cu care beneficiarul a încheiat contractul de execuţie a unei lucrări, de furnizare a unor produse sau de prestare a unor servicii </w:t>
            </w:r>
            <w:r w:rsidRPr="00433A86">
              <w:rPr>
                <w:rStyle w:val="rvts6"/>
                <w:szCs w:val="20"/>
              </w:rPr>
              <w:t>necesare în scopul implementării proiectului care face obiectul contractului de finanţare.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Departamentul pentru Lupta Anti-Fraudă (DLAF)</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rStyle w:val="rvts5"/>
                <w:szCs w:val="20"/>
                <w:lang w:val="en-US"/>
              </w:rPr>
            </w:pPr>
            <w:r w:rsidRPr="00433A86">
              <w:rPr>
                <w:rStyle w:val="rvts6"/>
                <w:szCs w:val="20"/>
              </w:rPr>
              <w:t>Instituţia naţională de contact cu Oficiul European de Luptă Antifraudă – OLAF, constituită în cadrul aparatului de lucru al Guvernului României, care acţionează pe bază de autonomie funcţională şi decizională, independent de alte instituţii publice, în vederea asigurării, sprijinirii sau coordonării, după caz, a îndeplinirii obligaţiilor ce revin României privind protecţia intereselor financiare ale Comunităţii Europene, având atribuţia de control al obţinerii, derulării sau utilizării fondurilor comunitare, precum şi a fondurilor de cofinanţare aferente.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70" w:right="170"/>
              <w:rPr>
                <w:rFonts w:cs="Arial"/>
                <w:szCs w:val="20"/>
              </w:rPr>
            </w:pPr>
            <w:r w:rsidRPr="00433A86">
              <w:rPr>
                <w:rFonts w:cs="Arial"/>
                <w:szCs w:val="20"/>
              </w:rPr>
              <w:t>Durata de implementare a proiectului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40" w:after="40"/>
              <w:ind w:left="170" w:right="170"/>
              <w:rPr>
                <w:rFonts w:cs="Arial"/>
                <w:szCs w:val="20"/>
              </w:rPr>
            </w:pPr>
            <w:r w:rsidRPr="00433A86">
              <w:rPr>
                <w:rFonts w:cs="Arial"/>
                <w:szCs w:val="20"/>
              </w:rPr>
              <w:t>Perioada cuprinsă între data semnării contractului de finanţare şi data finalizării ultimei activităţi prevăzute în cadrul proiectului.</w:t>
            </w:r>
          </w:p>
        </w:tc>
      </w:tr>
      <w:tr w:rsidR="004C397F"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4C397F" w:rsidRPr="00433A86" w:rsidRDefault="004C397F" w:rsidP="00B856FB">
            <w:pPr>
              <w:spacing w:before="60" w:after="60"/>
              <w:ind w:left="170" w:right="170"/>
              <w:jc w:val="both"/>
              <w:rPr>
                <w:szCs w:val="20"/>
              </w:rPr>
            </w:pPr>
            <w:r w:rsidRPr="00433A86">
              <w:rPr>
                <w:szCs w:val="20"/>
              </w:rPr>
              <w:t>Entități care furnizează activități de transfer tehnologic</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EC6825" w:rsidRPr="00433A86" w:rsidRDefault="00EC6825" w:rsidP="00433A86">
            <w:pPr>
              <w:spacing w:before="40" w:after="40"/>
              <w:ind w:left="170" w:right="170"/>
              <w:jc w:val="both"/>
              <w:rPr>
                <w:rStyle w:val="rvts5"/>
                <w:rFonts w:cs="Tahoma"/>
              </w:rPr>
            </w:pPr>
            <w:r w:rsidRPr="00433A86">
              <w:rPr>
                <w:rStyle w:val="rvts5"/>
                <w:rFonts w:cs="Tahoma"/>
                <w:szCs w:val="20"/>
              </w:rPr>
              <w:t>incubatoare tehnologice şi de afaceri  ITA,  centre de transfer tehnologic – CTT, centre de informare tehnologică CIT, oficii de legătură cu industria – OLI, etc</w:t>
            </w:r>
          </w:p>
          <w:p w:rsidR="00EC6825" w:rsidRPr="00433A86" w:rsidRDefault="00EC6825" w:rsidP="00433A86">
            <w:pPr>
              <w:spacing w:before="40" w:after="40"/>
              <w:ind w:left="170" w:right="170"/>
              <w:jc w:val="both"/>
              <w:rPr>
                <w:rStyle w:val="rvts5"/>
                <w:rFonts w:cs="Tahoma"/>
                <w:szCs w:val="20"/>
              </w:rPr>
            </w:pPr>
            <w:r w:rsidRPr="00433A86">
              <w:rPr>
                <w:rStyle w:val="rvts5"/>
                <w:rFonts w:cs="Tahoma"/>
                <w:szCs w:val="20"/>
              </w:rPr>
              <w:t xml:space="preserve">ITA reprezintă o entitate din infrastructură a cărei activitate este orientată în principal către facilitarea iniţierii şi dezvoltării de noi întreprinderi inovative bazate pe tehnologie avansată. </w:t>
            </w:r>
          </w:p>
          <w:p w:rsidR="00EC6825" w:rsidRPr="00433A86" w:rsidRDefault="00EC6825" w:rsidP="00433A86">
            <w:pPr>
              <w:spacing w:before="40" w:after="40"/>
              <w:ind w:left="170" w:right="170"/>
              <w:jc w:val="both"/>
              <w:rPr>
                <w:rStyle w:val="rvts5"/>
                <w:rFonts w:cs="Tahoma"/>
                <w:szCs w:val="20"/>
              </w:rPr>
            </w:pPr>
          </w:p>
          <w:p w:rsidR="00EC6825" w:rsidRPr="00433A86" w:rsidRDefault="00EC6825" w:rsidP="00433A86">
            <w:pPr>
              <w:spacing w:before="40" w:after="40"/>
              <w:ind w:left="170" w:right="170"/>
              <w:jc w:val="both"/>
              <w:rPr>
                <w:rStyle w:val="rvts5"/>
                <w:rFonts w:cs="Tahoma"/>
                <w:szCs w:val="20"/>
              </w:rPr>
            </w:pPr>
            <w:r w:rsidRPr="00433A86">
              <w:rPr>
                <w:rStyle w:val="rvts5"/>
                <w:rFonts w:cs="Tahoma"/>
                <w:szCs w:val="20"/>
              </w:rPr>
              <w:t xml:space="preserve">CTT este o entitate din infrastructură a cărei activitate constă în stimularea inovării şi transferului tehnologic în scopul introducerii în circuitul economic a </w:t>
            </w:r>
            <w:r w:rsidRPr="00433A86">
              <w:rPr>
                <w:rStyle w:val="rvts5"/>
                <w:rFonts w:cs="Tahoma"/>
                <w:szCs w:val="20"/>
              </w:rPr>
              <w:lastRenderedPageBreak/>
              <w:t xml:space="preserve">rezultatelor cercetării, transformate în produse, procese şi servicii noi sau îmbunătăţite. </w:t>
            </w:r>
          </w:p>
          <w:p w:rsidR="00EC6825" w:rsidRPr="00433A86" w:rsidRDefault="00EC6825" w:rsidP="00433A86">
            <w:pPr>
              <w:spacing w:before="40" w:after="40"/>
              <w:ind w:left="170" w:right="170"/>
              <w:jc w:val="both"/>
              <w:rPr>
                <w:rStyle w:val="rvts5"/>
                <w:rFonts w:cs="Tahoma"/>
                <w:szCs w:val="20"/>
              </w:rPr>
            </w:pPr>
          </w:p>
          <w:p w:rsidR="00EC6825" w:rsidRPr="00433A86" w:rsidRDefault="00EC6825" w:rsidP="00433A86">
            <w:pPr>
              <w:spacing w:before="40" w:after="40"/>
              <w:ind w:left="170" w:right="170"/>
              <w:jc w:val="both"/>
              <w:rPr>
                <w:rStyle w:val="rvts5"/>
                <w:rFonts w:cs="Tahoma"/>
                <w:szCs w:val="20"/>
              </w:rPr>
            </w:pPr>
            <w:r w:rsidRPr="00433A86">
              <w:rPr>
                <w:rStyle w:val="rvts5"/>
                <w:rFonts w:cs="Tahoma"/>
                <w:szCs w:val="20"/>
              </w:rPr>
              <w:t>CIT reprezintă o entitate din infrastructură care desfăşoară activităţi de diseminare a informaţiilor referitoare la rezultatele cercetării-dezvoltării, documentare tehnologică şi instruire a agenţilor economici, în scopul stimulării valorificării rezultatelor, creării şi dezvoltării comportamentului inovativ al mediului socioeconomic.</w:t>
            </w:r>
          </w:p>
          <w:p w:rsidR="00EC6825" w:rsidRPr="00433A86" w:rsidRDefault="00EC6825" w:rsidP="00433A86">
            <w:pPr>
              <w:spacing w:before="40" w:after="40"/>
              <w:ind w:left="170" w:right="170"/>
              <w:jc w:val="both"/>
              <w:rPr>
                <w:rStyle w:val="rvts5"/>
                <w:rFonts w:cs="Tahoma"/>
                <w:szCs w:val="20"/>
              </w:rPr>
            </w:pPr>
          </w:p>
          <w:p w:rsidR="00EC6825" w:rsidRPr="00433A86" w:rsidRDefault="00EC6825" w:rsidP="00433A86">
            <w:pPr>
              <w:spacing w:before="40" w:after="40"/>
              <w:ind w:left="170" w:right="170"/>
              <w:jc w:val="both"/>
              <w:rPr>
                <w:rStyle w:val="rvts5"/>
                <w:rFonts w:cs="Tahoma"/>
                <w:szCs w:val="20"/>
              </w:rPr>
            </w:pPr>
            <w:r w:rsidRPr="00433A86">
              <w:rPr>
                <w:rStyle w:val="rvts5"/>
                <w:rFonts w:cs="Tahoma"/>
                <w:szCs w:val="20"/>
              </w:rPr>
              <w:t xml:space="preserve"> OLI, asimilate ca şi centre de competenţă, este o entitate din infrastructură al cărei obiect de activitate constă în stabilirea, menţinerea şi extinderea legăturilor dintre furnizorii rezultatelor cercetării-dezvoltării şi mediul socioeconomic/agenţii economici, în scopul facilitării transferului tehnologic.</w:t>
            </w:r>
          </w:p>
          <w:p w:rsidR="004C397F" w:rsidRPr="00433A86" w:rsidRDefault="004C397F" w:rsidP="00433A86">
            <w:pPr>
              <w:spacing w:before="40" w:after="40"/>
              <w:ind w:right="170"/>
              <w:jc w:val="both"/>
              <w:rPr>
                <w:rStyle w:val="rvts5"/>
                <w:rFonts w:cs="Tahoma"/>
                <w:szCs w:val="20"/>
              </w:rPr>
            </w:pP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lastRenderedPageBreak/>
              <w:t>Extravilanul localităţii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rStyle w:val="rvts5"/>
                <w:rFonts w:cs="Tahoma"/>
                <w:szCs w:val="20"/>
              </w:rPr>
            </w:pPr>
            <w:r w:rsidRPr="00433A86">
              <w:rPr>
                <w:rStyle w:val="rvts5"/>
                <w:rFonts w:cs="Tahoma"/>
                <w:szCs w:val="20"/>
              </w:rPr>
              <w:t>Teritoriul cuprins între limita intravilanului şi limita administrativ-teritorială a unităţii de bază (municipiu, oraş, comună), înăuntrul căruia autorizarea executării lucrărilor de construcţii este restricţionată, în condiţiile legii.</w:t>
            </w:r>
          </w:p>
          <w:p w:rsidR="00EC3D5B" w:rsidRPr="00433A86" w:rsidRDefault="00EC3D5B" w:rsidP="00B856FB">
            <w:pPr>
              <w:spacing w:before="40" w:after="40"/>
              <w:ind w:left="170" w:right="170"/>
              <w:jc w:val="both"/>
              <w:rPr>
                <w:rStyle w:val="rvts5"/>
                <w:szCs w:val="20"/>
              </w:rPr>
            </w:pPr>
            <w:r w:rsidRPr="00433A86">
              <w:rPr>
                <w:rStyle w:val="rvts5"/>
                <w:rFonts w:cs="Tahoma"/>
                <w:szCs w:val="20"/>
              </w:rPr>
              <w:t>(Anexa 2 la Legea nr.50/1991 privind autorizarea executării lucrărilor de construcţii, cu modificările şi completările ulterioare)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Fraudă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rStyle w:val="rvts5"/>
                <w:szCs w:val="20"/>
              </w:rPr>
              <w:t>Orice acţiune sau omisiune intenţionată în legătură cu obţinerea, utilizarea sau gestionarea fondurilor comunitare provenind din bugetul general al Comunităţilor Europene sau din bugetele administrate de acestea ori în numele lor, precum şi/sau din bugetele de cofinanţare aferente, incriminată prin </w:t>
            </w:r>
            <w:r w:rsidRPr="00433A86">
              <w:rPr>
                <w:szCs w:val="20"/>
              </w:rPr>
              <w:t>Codul penal</w:t>
            </w:r>
            <w:r w:rsidRPr="00433A86">
              <w:rPr>
                <w:rStyle w:val="rvts5"/>
                <w:szCs w:val="20"/>
              </w:rPr>
              <w:t>, </w:t>
            </w:r>
            <w:r w:rsidRPr="00433A86">
              <w:rPr>
                <w:szCs w:val="20"/>
              </w:rPr>
              <w:t>Legea nr. 78/2000</w:t>
            </w:r>
            <w:r w:rsidRPr="00433A86">
              <w:rPr>
                <w:rStyle w:val="rvts5"/>
                <w:szCs w:val="20"/>
              </w:rPr>
              <w:t> pentru prevenirea, descoperirea şi sancţionarea faptelor de corupţie, cu modificările şi completările ulterioare, sau prin alte legi speciale</w:t>
            </w:r>
          </w:p>
        </w:tc>
      </w:tr>
      <w:tr w:rsidR="00F27AC7"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F27AC7" w:rsidRPr="00433A86" w:rsidRDefault="00F27AC7" w:rsidP="00B856FB">
            <w:pPr>
              <w:spacing w:before="60" w:after="60"/>
              <w:ind w:left="170" w:right="170"/>
              <w:jc w:val="both"/>
              <w:rPr>
                <w:szCs w:val="20"/>
              </w:rPr>
            </w:pPr>
            <w:r w:rsidRPr="00433A86">
              <w:rPr>
                <w:szCs w:val="20"/>
              </w:rPr>
              <w:t>Grup de acțiune locală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F27AC7" w:rsidRPr="00433A86" w:rsidRDefault="00F27AC7" w:rsidP="00174F2C">
            <w:pPr>
              <w:jc w:val="both"/>
              <w:rPr>
                <w:rStyle w:val="rvts5"/>
                <w:szCs w:val="20"/>
              </w:rPr>
            </w:pPr>
            <w:r w:rsidRPr="00433A86">
              <w:rPr>
                <w:noProof/>
                <w:szCs w:val="20"/>
              </w:rPr>
              <w:t>Structură partenerială formată din reprezentanți ai intereselor socio-economice locale ale sectoarelor public și privat, precum antreprenori</w:t>
            </w:r>
            <w:r w:rsidR="000F2B1E" w:rsidRPr="00433A86">
              <w:rPr>
                <w:noProof/>
                <w:szCs w:val="20"/>
              </w:rPr>
              <w:t>i</w:t>
            </w:r>
            <w:r w:rsidRPr="00433A86">
              <w:rPr>
                <w:noProof/>
                <w:szCs w:val="20"/>
              </w:rPr>
              <w:t xml:space="preserve"> și asociațiil</w:t>
            </w:r>
            <w:r w:rsidR="000F2B1E" w:rsidRPr="00433A86">
              <w:rPr>
                <w:noProof/>
                <w:szCs w:val="20"/>
              </w:rPr>
              <w:t>e</w:t>
            </w:r>
            <w:r w:rsidRPr="00433A86">
              <w:rPr>
                <w:noProof/>
                <w:szCs w:val="20"/>
              </w:rPr>
              <w:t xml:space="preserve"> acestora, autorități locale, asociații de cartier sau asociații rurale, grupuri de cetățeni (minorități, cetățeni vârstnici, femei/bărbați, tineri, antreprenori, etc</w:t>
            </w:r>
            <w:r w:rsidR="000F2B1E" w:rsidRPr="00433A86">
              <w:rPr>
                <w:noProof/>
                <w:szCs w:val="20"/>
              </w:rPr>
              <w:t>.</w:t>
            </w:r>
            <w:r w:rsidRPr="00433A86">
              <w:rPr>
                <w:noProof/>
                <w:szCs w:val="20"/>
              </w:rPr>
              <w:t xml:space="preserve">), organizații comunitare și voluntare, etc. În procesul decizional de selecţie, cel puţin 50% din drepturile de vot </w:t>
            </w:r>
            <w:r w:rsidR="00174F2C">
              <w:rPr>
                <w:noProof/>
                <w:szCs w:val="20"/>
              </w:rPr>
              <w:t>trebuie</w:t>
            </w:r>
            <w:r w:rsidRPr="00433A86">
              <w:rPr>
                <w:noProof/>
                <w:szCs w:val="20"/>
              </w:rPr>
              <w:t xml:space="preserve"> să le revină partenerilor din sectorul privat şi niciun grup de interese nu </w:t>
            </w:r>
            <w:r w:rsidR="00174F2C">
              <w:rPr>
                <w:noProof/>
                <w:szCs w:val="20"/>
              </w:rPr>
              <w:t xml:space="preserve">trebuie </w:t>
            </w:r>
            <w:r w:rsidRPr="00433A86">
              <w:rPr>
                <w:noProof/>
                <w:szCs w:val="20"/>
              </w:rPr>
              <w:t>să deţină singur mai mult de 49% din drepturile de vot.</w:t>
            </w:r>
          </w:p>
        </w:tc>
      </w:tr>
      <w:tr w:rsidR="00F27AC7"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F27AC7" w:rsidRPr="00433A86" w:rsidRDefault="00F27AC7" w:rsidP="00B856FB">
            <w:pPr>
              <w:spacing w:before="60" w:after="60"/>
              <w:ind w:left="170" w:right="170"/>
              <w:jc w:val="both"/>
              <w:rPr>
                <w:szCs w:val="20"/>
              </w:rPr>
            </w:pPr>
            <w:r w:rsidRPr="00433A86">
              <w:rPr>
                <w:szCs w:val="20"/>
              </w:rPr>
              <w:t>Incubator de afaceri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F27AC7" w:rsidRPr="00433A86" w:rsidRDefault="00152806" w:rsidP="00F27AC7">
            <w:pPr>
              <w:jc w:val="both"/>
              <w:rPr>
                <w:noProof/>
                <w:szCs w:val="20"/>
              </w:rPr>
            </w:pPr>
            <w:r w:rsidRPr="00C41FD0">
              <w:t>Incubatorul de afaceri este o structură partenerială locală sau regională, care urmăreşte crearea unui mediu favorabil, sustenabil, pentru întreprinderile mici şi mjlocii nou înfiinţate şi cele inovative stimulându-le potenţialul de dezvoltare şi de viabilitate, ajutându-le să supravieţuiască şi să crească în perioada de început, atunci când sunt cel mai vulnerabile.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Intravilanul localităţii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Web"/>
              <w:shd w:val="clear" w:color="auto" w:fill="FFFFFF"/>
              <w:spacing w:before="40" w:after="40"/>
              <w:ind w:left="170" w:right="170"/>
              <w:jc w:val="both"/>
              <w:rPr>
                <w:rFonts w:ascii="Trebuchet MS" w:hAnsi="Trebuchet MS"/>
                <w:sz w:val="20"/>
                <w:szCs w:val="20"/>
                <w:lang w:val="ro-RO"/>
              </w:rPr>
            </w:pPr>
            <w:r w:rsidRPr="00433A86">
              <w:rPr>
                <w:rFonts w:ascii="Trebuchet MS" w:hAnsi="Trebuchet MS"/>
                <w:sz w:val="20"/>
                <w:szCs w:val="20"/>
              </w:rPr>
              <w:t>Teritoriul care constituie o localitate se determină prin Planul urbanistic general (PUG) şi cuprinde ansamblul terenurilor de orice fel, cu/fără construcţii, organizate şi delimitate ca trupuri independente, plantate, aflate permanent sub ape, aflate în circuitul agricol sau având o altă destinaţie, înăuntrul căruia este permisă realizarea de construcţii, în condiţiile legii. Intravilanul se poate dezvolta prin extinderea în extravilan numai pe bază de planuri urbanistice zonale (PUZ), legal aprobate, integrându-se ulterior în Planul urbanistic general (PUG) al localităţii</w:t>
            </w:r>
          </w:p>
          <w:p w:rsidR="00EC3D5B" w:rsidRPr="00433A86" w:rsidRDefault="00EC3D5B" w:rsidP="00B856FB">
            <w:pPr>
              <w:spacing w:before="40" w:after="40"/>
              <w:ind w:left="170" w:right="170"/>
              <w:jc w:val="both"/>
              <w:rPr>
                <w:szCs w:val="20"/>
              </w:rPr>
            </w:pPr>
            <w:r w:rsidRPr="00433A86">
              <w:rPr>
                <w:szCs w:val="20"/>
              </w:rPr>
              <w:t>(Anexa 2 la Legea nr.50/1991 privind autorizarea executării lucrărilor de construcţii, cu modificările şi completările ulterioare)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Neregulă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rFonts w:cs="Tahoma"/>
                <w:szCs w:val="20"/>
              </w:rPr>
            </w:pPr>
            <w:r w:rsidRPr="00433A86">
              <w:rPr>
                <w:szCs w:val="20"/>
              </w:rPr>
              <w:t xml:space="preserve">Conform Regulamentului Consiliului (CE) nr. 1083/2006, prin „neregulă” se înţelege </w:t>
            </w:r>
            <w:r w:rsidRPr="00433A86">
              <w:rPr>
                <w:rFonts w:cs="Tahoma"/>
                <w:szCs w:val="20"/>
              </w:rPr>
              <w:t xml:space="preserve">orice încălcare a unei dispoziţii a dreptului comunitar, care rezultă dintr-un act sau dintr-o omisiune a unui operator economic care are sau ar putea avea ca efect un prejudiciu la adresa bugetului general al Uniunii </w:t>
            </w:r>
            <w:r w:rsidRPr="00433A86">
              <w:rPr>
                <w:rFonts w:cs="Tahoma"/>
                <w:szCs w:val="20"/>
              </w:rPr>
              <w:lastRenderedPageBreak/>
              <w:t xml:space="preserve">Europene, prin imputarea unei cheltuieli necorespunzătoare bugetului general. </w:t>
            </w:r>
          </w:p>
          <w:p w:rsidR="00EC3D5B" w:rsidRPr="00433A86" w:rsidRDefault="00EC3D5B" w:rsidP="00B856FB">
            <w:pPr>
              <w:spacing w:before="40" w:after="40"/>
              <w:ind w:left="170" w:right="170"/>
              <w:jc w:val="both"/>
              <w:rPr>
                <w:szCs w:val="20"/>
              </w:rPr>
            </w:pPr>
            <w:r w:rsidRPr="00433A86">
              <w:rPr>
                <w:rFonts w:cs="Tahoma"/>
                <w:szCs w:val="20"/>
              </w:rPr>
              <w:t xml:space="preserve">Conform prevederilor art.2 din Ordonanţa Guvernului nr.79/2003, prin neregulă se înţelege </w:t>
            </w:r>
            <w:r w:rsidRPr="00433A86">
              <w:rPr>
                <w:rStyle w:val="rvts6"/>
                <w:rFonts w:cs="Tahoma"/>
                <w:szCs w:val="20"/>
              </w:rPr>
              <w:t>orice abatere de la legalitate, regularitate şi conformitate în raport cu dispoziţiile legale naţionale şi/sau comunitare, precum şi cu prevederile contractelor ori ale altor angajamente legale încheiate în baza acestor dispoziţii, care prejudiciază bugetul general al Comunităţii Europene şi/sau bugetele administrate de aceasta ori în numele ei, precum şi bugetele din care provine cofinanţarea aferentă, printr-o cheltuială necuvenită</w:t>
            </w:r>
            <w:r w:rsidRPr="00433A86">
              <w:rPr>
                <w:szCs w:val="20"/>
              </w:rPr>
              <w:t>.</w:t>
            </w:r>
          </w:p>
        </w:tc>
      </w:tr>
      <w:tr w:rsidR="00734990"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734990" w:rsidRPr="00433A86" w:rsidRDefault="00734990" w:rsidP="00B856FB">
            <w:pPr>
              <w:spacing w:before="60" w:after="60"/>
              <w:ind w:left="170" w:right="170"/>
              <w:jc w:val="both"/>
              <w:rPr>
                <w:szCs w:val="20"/>
              </w:rPr>
            </w:pPr>
            <w:r w:rsidRPr="00433A86">
              <w:rPr>
                <w:szCs w:val="20"/>
              </w:rPr>
              <w:lastRenderedPageBreak/>
              <w:t>Obiective tematice</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7C274F" w:rsidRPr="00433A86" w:rsidRDefault="007C274F" w:rsidP="007C274F">
            <w:pPr>
              <w:spacing w:before="40" w:after="40"/>
              <w:ind w:left="170" w:right="170"/>
              <w:jc w:val="both"/>
              <w:rPr>
                <w:szCs w:val="20"/>
              </w:rPr>
            </w:pPr>
            <w:r w:rsidRPr="00433A86">
              <w:rPr>
                <w:szCs w:val="20"/>
              </w:rPr>
              <w:t xml:space="preserve">Articolul 9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definește 11 obiective tematice, cu scopul de a concentra investițiile UE și de a contribui la strategia UE pentru o creștere durabilă și favorabilă incluziunii. Obiectivele tematice sunt transpuse în priorități specifice pentru fiecare din fondurile ESI și sunt stabilite normele specifice fondurilor. Printre obiectivele tematice se numără: </w:t>
            </w:r>
            <w:r w:rsidRPr="00433A86">
              <w:rPr>
                <w:i/>
                <w:szCs w:val="20"/>
              </w:rPr>
              <w:t>OT 1 - consolidarea cercetării, dezvoltării tehnologice şi a inovării</w:t>
            </w:r>
            <w:r w:rsidR="000F2B1E" w:rsidRPr="00433A86">
              <w:rPr>
                <w:szCs w:val="20"/>
              </w:rPr>
              <w:t>;</w:t>
            </w:r>
            <w:r w:rsidRPr="00433A86">
              <w:rPr>
                <w:szCs w:val="20"/>
              </w:rPr>
              <w:t xml:space="preserve"> </w:t>
            </w:r>
            <w:r w:rsidRPr="00433A86">
              <w:rPr>
                <w:i/>
                <w:szCs w:val="20"/>
              </w:rPr>
              <w:t>OT 3 - îmbunătăţirea competitivităţii întreprinderilor mici şi mijlocii, a sectorului agricol şi a sectorului pescuitului şi acvaculturii</w:t>
            </w:r>
            <w:r w:rsidRPr="00433A86">
              <w:rPr>
                <w:szCs w:val="20"/>
              </w:rPr>
              <w:t>. În cadrul POR 2014-2020 se regăsesc 9 din cele 11 obiective tematice.</w:t>
            </w:r>
          </w:p>
          <w:p w:rsidR="00734990" w:rsidRPr="00433A86" w:rsidRDefault="00734990" w:rsidP="007C274F">
            <w:pPr>
              <w:spacing w:before="40" w:after="40"/>
              <w:ind w:left="170" w:right="170"/>
              <w:jc w:val="both"/>
              <w:rPr>
                <w:szCs w:val="20"/>
              </w:rPr>
            </w:pP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Oficiul European de Luptă Antifraudă (OLAF)</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Structura constituită în cadrul Comisiei Europene, independentă funcţional, care răspunde de protejarea intereselor financiare ale Uniunii Europene.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rFonts w:eastAsia="Arial Unicode MS"/>
                <w:szCs w:val="20"/>
              </w:rPr>
            </w:pPr>
            <w:r w:rsidRPr="00433A86">
              <w:rPr>
                <w:szCs w:val="20"/>
              </w:rPr>
              <w:t>Organism intermediar pentru Programul Operaţional Regional</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073206">
            <w:pPr>
              <w:spacing w:before="40" w:after="40"/>
              <w:ind w:left="170" w:right="170"/>
              <w:jc w:val="both"/>
              <w:rPr>
                <w:rFonts w:eastAsia="Arial Unicode MS"/>
                <w:szCs w:val="20"/>
              </w:rPr>
            </w:pPr>
            <w:r w:rsidRPr="00433A86">
              <w:rPr>
                <w:szCs w:val="20"/>
              </w:rPr>
              <w:t>Reprezintă instituţia desemnată de statul membru care, prin delegare de atribuţii de la Autoritatea de Management, implementează axele prioritare / domeniile de intervenţie din Programul Operaţional Regional 20</w:t>
            </w:r>
            <w:r w:rsidR="00B856FB" w:rsidRPr="00433A86">
              <w:rPr>
                <w:szCs w:val="20"/>
              </w:rPr>
              <w:t>14</w:t>
            </w:r>
            <w:r w:rsidRPr="00433A86">
              <w:rPr>
                <w:szCs w:val="20"/>
              </w:rPr>
              <w:t>-20</w:t>
            </w:r>
            <w:r w:rsidR="00B856FB" w:rsidRPr="00433A86">
              <w:rPr>
                <w:szCs w:val="20"/>
              </w:rPr>
              <w:t>20</w:t>
            </w:r>
            <w:r w:rsidRPr="00433A86">
              <w:rPr>
                <w:szCs w:val="20"/>
              </w:rPr>
              <w:t>. În conformitate cu prevederile HG nr.457/2008, au fost desemnate ca organisme intermediare pentru POR cele opt agenţii pentru dezvoltare regională</w:t>
            </w:r>
            <w:r w:rsidR="00B856FB" w:rsidRPr="00433A86">
              <w:rPr>
                <w:szCs w:val="20"/>
              </w:rPr>
              <w:t>.</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70" w:right="170"/>
              <w:rPr>
                <w:szCs w:val="20"/>
              </w:rPr>
            </w:pPr>
            <w:r w:rsidRPr="00433A86">
              <w:rPr>
                <w:szCs w:val="20"/>
              </w:rPr>
              <w:t>Plan integrat de dezvoltare urbană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40" w:after="40"/>
              <w:ind w:left="170" w:right="170"/>
              <w:rPr>
                <w:szCs w:val="20"/>
              </w:rPr>
            </w:pPr>
            <w:r w:rsidRPr="00433A86">
              <w:rPr>
                <w:szCs w:val="20"/>
              </w:rPr>
              <w:t>În sensul prezentului Ghid, document de planificare a dezvoltării unei zone de acţiune urbană, din care decurg proiectele pentru care se solicită finanţare în cadrul Axei prioritare 1 a POR.</w:t>
            </w:r>
          </w:p>
        </w:tc>
      </w:tr>
      <w:tr w:rsidR="00B856FB" w:rsidRPr="00433A86" w:rsidTr="00DE7318">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B856FB" w:rsidRPr="00433A86" w:rsidRDefault="00B856FB" w:rsidP="00DE7318">
            <w:pPr>
              <w:spacing w:before="60" w:after="60"/>
              <w:ind w:left="170" w:right="170"/>
              <w:jc w:val="both"/>
              <w:rPr>
                <w:szCs w:val="20"/>
              </w:rPr>
            </w:pPr>
            <w:r w:rsidRPr="00433A86">
              <w:rPr>
                <w:szCs w:val="20"/>
              </w:rPr>
              <w:t>Prioritate de investiții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B856FB" w:rsidRPr="00433A86" w:rsidRDefault="00B856FB" w:rsidP="00E359D9">
            <w:pPr>
              <w:spacing w:before="40" w:after="40"/>
              <w:ind w:left="170" w:right="170"/>
              <w:jc w:val="both"/>
              <w:rPr>
                <w:szCs w:val="20"/>
              </w:rPr>
            </w:pPr>
            <w:r w:rsidRPr="00433A86">
              <w:rPr>
                <w:rStyle w:val="rvts5"/>
                <w:szCs w:val="20"/>
              </w:rPr>
              <w:t>Operaţiunea sau setul de operaţiuni clar identificate în cadrul unei Axe prioritare.</w:t>
            </w:r>
            <w:r w:rsidR="007C274F" w:rsidRPr="00433A86">
              <w:rPr>
                <w:rStyle w:val="rvts5"/>
                <w:szCs w:val="20"/>
              </w:rPr>
              <w:t xml:space="preserve"> Prioritățile de investiții aferente fiecărui obiectiv tematic finanțat din FEDR sunt detaliate la art. 5 din </w:t>
            </w:r>
            <w:r w:rsidR="00E359D9" w:rsidRPr="00433A86">
              <w:rPr>
                <w:szCs w:val="2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70" w:right="170"/>
              <w:rPr>
                <w:szCs w:val="20"/>
              </w:rPr>
            </w:pPr>
            <w:r w:rsidRPr="00433A86">
              <w:rPr>
                <w:szCs w:val="20"/>
              </w:rPr>
              <w:t xml:space="preserve">Pol de creştere </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40" w:after="40"/>
              <w:ind w:left="170" w:right="170"/>
              <w:rPr>
                <w:szCs w:val="20"/>
              </w:rPr>
            </w:pPr>
            <w:r w:rsidRPr="00433A86">
              <w:rPr>
                <w:szCs w:val="20"/>
              </w:rPr>
              <w:t xml:space="preserve">Următoarele municipii, împreună cu zona de influenţă a acestora: Iaşi, Constanţa, Ploieşti, Craiova, Timişoara, Cluj-Napoca şi Braşov. </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Proiect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 xml:space="preserve">O serie de activităţi economice indivizibile, concepute pentru a produce un rezultat specific într-o perioadă de timp dată şi având obiective clar stabilite, pentru a cărui realizare Beneficiarul primeşte </w:t>
            </w:r>
            <w:r w:rsidRPr="00433A86">
              <w:rPr>
                <w:rStyle w:val="rvts6"/>
                <w:szCs w:val="20"/>
              </w:rPr>
              <w:t>fonduri nerambursabile, în cadrul Programului Operaţional Regional</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70" w:right="170"/>
              <w:rPr>
                <w:rFonts w:eastAsia="Arial Unicode MS" w:cs="Arial"/>
                <w:szCs w:val="20"/>
              </w:rPr>
            </w:pPr>
            <w:r w:rsidRPr="00433A86">
              <w:rPr>
                <w:rFonts w:cs="Arial"/>
                <w:szCs w:val="20"/>
              </w:rPr>
              <w:t xml:space="preserve">Reprezentant legal </w:t>
            </w:r>
            <w:r w:rsidRPr="00433A86">
              <w:rPr>
                <w:rFonts w:cs="Arial"/>
                <w:szCs w:val="20"/>
              </w:rPr>
              <w:lastRenderedPageBreak/>
              <w:t>al solicitantului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40" w:after="40"/>
              <w:ind w:left="170" w:right="170"/>
              <w:rPr>
                <w:rFonts w:eastAsia="Arial Unicode MS" w:cs="Arial"/>
                <w:szCs w:val="20"/>
              </w:rPr>
            </w:pPr>
            <w:r w:rsidRPr="00433A86">
              <w:rPr>
                <w:rFonts w:cs="Arial"/>
                <w:szCs w:val="20"/>
              </w:rPr>
              <w:lastRenderedPageBreak/>
              <w:t xml:space="preserve">Persoana care are dreptul conform actelor de constituire să reprezinte </w:t>
            </w:r>
            <w:r w:rsidRPr="00433A86">
              <w:rPr>
                <w:rFonts w:cs="Arial"/>
                <w:szCs w:val="20"/>
              </w:rPr>
              <w:lastRenderedPageBreak/>
              <w:t>organizaţia şi să semneze în numele acesteia.</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rStyle w:val="rvts12"/>
                <w:rFonts w:cs="Tahoma"/>
                <w:szCs w:val="20"/>
              </w:rPr>
              <w:lastRenderedPageBreak/>
              <w:t>Sistemul unic de management al informaţiei (SMIS/SUIM)</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rStyle w:val="rvts9"/>
                <w:rFonts w:cs="Tahoma"/>
                <w:szCs w:val="20"/>
              </w:rPr>
              <w:t>Sistemul informatic centralizat, dezvoltat de către Ministerul Economiei şi Finanţelor, în colaborare cu toate structurile utilizatoare, pentru a asigura colectarea informaţiilor referitoare la implementare, necesare managementului financiar, monitorizării, verificărilor, auditului şi evaluării programelor din cadrul obiectivului convergenţă, în conformitate cu prevederile art. 60 lit. (c) din Regulamentul Consiliului (CE) nr. 1.083/2006.</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Solicitant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E3B5D">
            <w:pPr>
              <w:spacing w:before="40" w:after="40"/>
              <w:ind w:left="170" w:right="170"/>
              <w:jc w:val="both"/>
              <w:rPr>
                <w:szCs w:val="20"/>
              </w:rPr>
            </w:pPr>
            <w:r w:rsidRPr="00433A86">
              <w:rPr>
                <w:szCs w:val="20"/>
              </w:rPr>
              <w:t>Persoana juridică sau asocierea / parteneriatul de persoane juridice care depune o cerere de finanţare, în vederea obţinerii de fonduri nerambursabile</w:t>
            </w:r>
            <w:r w:rsidR="00BE3B5D" w:rsidRPr="00433A86">
              <w:rPr>
                <w:szCs w:val="20"/>
              </w:rPr>
              <w:t xml:space="preserve"> din cadrul POR 2014-2020</w:t>
            </w:r>
            <w:r w:rsidRPr="00433A86">
              <w:rPr>
                <w:szCs w:val="20"/>
              </w:rPr>
              <w:t>. Categoriile de solicitanţi eligibili şi condiţiile pe care aceştia trebuie să le îndeplinească su</w:t>
            </w:r>
            <w:r w:rsidR="00BE3B5D" w:rsidRPr="00433A86">
              <w:rPr>
                <w:szCs w:val="20"/>
              </w:rPr>
              <w:t>nt menţionate în prezentul Ghid general, preucm și din cadrul Ghidurilor specifice.</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E3B5D">
            <w:pPr>
              <w:spacing w:before="60" w:after="60"/>
              <w:ind w:left="170" w:right="170"/>
              <w:jc w:val="both"/>
              <w:rPr>
                <w:szCs w:val="20"/>
              </w:rPr>
            </w:pPr>
            <w:r w:rsidRPr="00433A86">
              <w:rPr>
                <w:szCs w:val="20"/>
              </w:rPr>
              <w:t>Strategie de Dezvoltare Regională 20</w:t>
            </w:r>
            <w:r w:rsidR="00BE3B5D" w:rsidRPr="00433A86">
              <w:rPr>
                <w:szCs w:val="20"/>
              </w:rPr>
              <w:t>14</w:t>
            </w:r>
            <w:r w:rsidRPr="00433A86">
              <w:rPr>
                <w:szCs w:val="20"/>
              </w:rPr>
              <w:t>-20</w:t>
            </w:r>
            <w:r w:rsidR="00BE3B5D" w:rsidRPr="00433A86">
              <w:rPr>
                <w:szCs w:val="20"/>
              </w:rPr>
              <w:t>20</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40" w:after="40"/>
              <w:ind w:left="170" w:right="170"/>
              <w:jc w:val="both"/>
              <w:rPr>
                <w:szCs w:val="20"/>
              </w:rPr>
            </w:pPr>
            <w:r w:rsidRPr="00433A86">
              <w:rPr>
                <w:szCs w:val="20"/>
              </w:rPr>
              <w:t>Document elaborat pentru fiecare regiune de dezvoltare, conţine priorităţi şi măsuri ce vor putea fi finanţate din instrumente structurale prin Programul Operaţional Regional, programe operaţionale sectoriale, Programul Naţional pentru Dezvoltare Rurală, precum şi din alte surse de finanţare.</w:t>
            </w:r>
          </w:p>
        </w:tc>
      </w:tr>
      <w:tr w:rsidR="00E359D9"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E359D9" w:rsidRPr="00433A86" w:rsidRDefault="00E359D9" w:rsidP="00BE3B5D">
            <w:pPr>
              <w:spacing w:before="60" w:after="60"/>
              <w:ind w:left="170" w:right="170"/>
              <w:jc w:val="both"/>
              <w:rPr>
                <w:szCs w:val="20"/>
              </w:rPr>
            </w:pPr>
            <w:r w:rsidRPr="00433A86">
              <w:rPr>
                <w:szCs w:val="20"/>
              </w:rPr>
              <w:t>Strategia Uniunii Europene pentru Regiunea Dunării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E359D9" w:rsidRPr="00433A86" w:rsidRDefault="00E359D9" w:rsidP="00E359D9">
            <w:pPr>
              <w:spacing w:before="40" w:after="40"/>
              <w:ind w:left="170" w:right="170"/>
              <w:jc w:val="both"/>
              <w:rPr>
                <w:szCs w:val="20"/>
              </w:rPr>
            </w:pPr>
            <w:r w:rsidRPr="00433A86">
              <w:rPr>
                <w:szCs w:val="20"/>
              </w:rPr>
              <w:t>Strategia UE pentru regiunea Dunării (SUERD) este un mecanism comunitar de cooperare a statelor din bazinul Dunării, destinat dezvoltării economice şi sociale a macro-regiunii dunărene, prin consolidarea implementării în regiune a politicilor şi legislaţiei UE. SUERD este a doua strategie macro-regională a UE, preluând modelul de cooperare dezvoltat prin Strategia UE pentru Marea Baltică (adoptată în 2009) cu adaptare la specificul regiunii dunărene.</w:t>
            </w:r>
          </w:p>
          <w:p w:rsidR="00E359D9" w:rsidRPr="00433A86" w:rsidRDefault="00E359D9" w:rsidP="00E359D9">
            <w:pPr>
              <w:spacing w:before="40" w:after="40"/>
              <w:ind w:left="170" w:right="170"/>
              <w:jc w:val="both"/>
              <w:rPr>
                <w:szCs w:val="20"/>
              </w:rPr>
            </w:pPr>
            <w:r w:rsidRPr="00433A86">
              <w:rPr>
                <w:szCs w:val="20"/>
              </w:rPr>
              <w:t>La Strategia Dunării participă paisprezece state: nouă state membre UE (Austria, România, Bulgaria, Cehia, Croaţia, Germania – ca stat federal şi prin landurile Baden-Württemberg şi Bavaria, Slovacia, Slovenia, Ungaria) şi cinci state ne-membre UE (Bosnia-Herţegovina, Muntenegru, Serbia, Republica Moldova şi Ucraina).</w:t>
            </w:r>
          </w:p>
          <w:p w:rsidR="00E359D9" w:rsidRPr="00433A86" w:rsidRDefault="00E359D9" w:rsidP="00E359D9">
            <w:pPr>
              <w:spacing w:before="40" w:after="40"/>
              <w:ind w:left="170" w:right="170"/>
              <w:jc w:val="both"/>
              <w:rPr>
                <w:szCs w:val="20"/>
              </w:rPr>
            </w:pPr>
            <w:r w:rsidRPr="00433A86">
              <w:rPr>
                <w:szCs w:val="20"/>
              </w:rPr>
              <w:t>Obiective şi priorităţi - strategia este structurată pe patru mari obiective:</w:t>
            </w:r>
          </w:p>
          <w:p w:rsidR="00E359D9" w:rsidRPr="00433A86" w:rsidRDefault="00E359D9" w:rsidP="00E359D9">
            <w:pPr>
              <w:spacing w:before="40" w:after="40"/>
              <w:ind w:left="170" w:right="170"/>
              <w:jc w:val="both"/>
              <w:rPr>
                <w:szCs w:val="20"/>
              </w:rPr>
            </w:pPr>
            <w:r w:rsidRPr="00433A86">
              <w:rPr>
                <w:szCs w:val="20"/>
              </w:rPr>
              <w:t>•</w:t>
            </w:r>
            <w:r w:rsidRPr="00433A86">
              <w:rPr>
                <w:szCs w:val="20"/>
              </w:rPr>
              <w:tab/>
              <w:t>interconectarea regiunii Dunării;</w:t>
            </w:r>
          </w:p>
          <w:p w:rsidR="00E359D9" w:rsidRPr="00433A86" w:rsidRDefault="00E359D9" w:rsidP="00E359D9">
            <w:pPr>
              <w:spacing w:before="40" w:after="40"/>
              <w:ind w:left="170" w:right="170"/>
              <w:jc w:val="both"/>
              <w:rPr>
                <w:szCs w:val="20"/>
              </w:rPr>
            </w:pPr>
            <w:r w:rsidRPr="00433A86">
              <w:rPr>
                <w:szCs w:val="20"/>
              </w:rPr>
              <w:t>•</w:t>
            </w:r>
            <w:r w:rsidRPr="00433A86">
              <w:rPr>
                <w:szCs w:val="20"/>
              </w:rPr>
              <w:tab/>
              <w:t>protejarea mediului în regiunea Dunării;</w:t>
            </w:r>
          </w:p>
          <w:p w:rsidR="00E359D9" w:rsidRPr="00433A86" w:rsidRDefault="00E359D9" w:rsidP="00E359D9">
            <w:pPr>
              <w:spacing w:before="40" w:after="40"/>
              <w:ind w:left="170" w:right="170"/>
              <w:jc w:val="both"/>
              <w:rPr>
                <w:szCs w:val="20"/>
              </w:rPr>
            </w:pPr>
            <w:r w:rsidRPr="00433A86">
              <w:rPr>
                <w:szCs w:val="20"/>
              </w:rPr>
              <w:t>•</w:t>
            </w:r>
            <w:r w:rsidRPr="00433A86">
              <w:rPr>
                <w:szCs w:val="20"/>
              </w:rPr>
              <w:tab/>
              <w:t>creşterea prosperităţii în regiunea Dunării;</w:t>
            </w:r>
          </w:p>
          <w:p w:rsidR="00E359D9" w:rsidRPr="00433A86" w:rsidRDefault="00E359D9" w:rsidP="00E359D9">
            <w:pPr>
              <w:spacing w:before="40" w:after="40"/>
              <w:ind w:left="170" w:right="170"/>
              <w:jc w:val="both"/>
              <w:rPr>
                <w:szCs w:val="20"/>
              </w:rPr>
            </w:pPr>
            <w:r w:rsidRPr="00433A86">
              <w:rPr>
                <w:szCs w:val="20"/>
              </w:rPr>
              <w:t>•</w:t>
            </w:r>
            <w:r w:rsidRPr="00433A86">
              <w:rPr>
                <w:szCs w:val="20"/>
              </w:rPr>
              <w:tab/>
              <w:t>consolidarea regiunii Dunării.</w:t>
            </w:r>
          </w:p>
        </w:tc>
      </w:tr>
      <w:tr w:rsidR="00EC3D5B" w:rsidRPr="00433A86"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70" w:right="170"/>
              <w:jc w:val="both"/>
              <w:rPr>
                <w:szCs w:val="20"/>
              </w:rPr>
            </w:pPr>
            <w:r w:rsidRPr="00433A86">
              <w:rPr>
                <w:szCs w:val="20"/>
              </w:rPr>
              <w:t>Unitate de plată pentru 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E3B5D">
            <w:pPr>
              <w:spacing w:before="40" w:after="40"/>
              <w:ind w:left="170" w:right="170"/>
              <w:jc w:val="both"/>
              <w:rPr>
                <w:szCs w:val="20"/>
              </w:rPr>
            </w:pPr>
            <w:r w:rsidRPr="00433A86">
              <w:rPr>
                <w:szCs w:val="20"/>
              </w:rPr>
              <w:t>Structură din cadrul Ministerului Dezvoltării</w:t>
            </w:r>
            <w:r w:rsidR="00BE3B5D" w:rsidRPr="00433A86">
              <w:rPr>
                <w:szCs w:val="20"/>
              </w:rPr>
              <w:t xml:space="preserve"> Regionale și administrației Publice</w:t>
            </w:r>
            <w:r w:rsidRPr="00433A86">
              <w:rPr>
                <w:szCs w:val="20"/>
              </w:rPr>
              <w:t xml:space="preserve">, </w:t>
            </w:r>
            <w:r w:rsidRPr="00433A86">
              <w:rPr>
                <w:rStyle w:val="rvts7"/>
                <w:rFonts w:cs="Tahoma"/>
                <w:szCs w:val="20"/>
              </w:rPr>
              <w:t>având responsabilitatea transferării către beneficiari a sumelor de prefinanţare, cofinanţare alocate de la bugetul de stat, a sumelor din asistenţa financiară nerambursabilă de la Uniunea Europeană şi a sumelor pentru acoperirea plăţii taxei pe valoarea adăugată aferentă cheltuielilor eligibile efectuate în cadrul proiectelor finanţate în cadrul POR</w:t>
            </w:r>
            <w:r w:rsidRPr="00433A86">
              <w:rPr>
                <w:szCs w:val="20"/>
              </w:rPr>
              <w:t xml:space="preserve"> </w:t>
            </w:r>
          </w:p>
        </w:tc>
      </w:tr>
    </w:tbl>
    <w:p w:rsidR="00EC3D5B" w:rsidRPr="00433A86" w:rsidRDefault="00EC3D5B" w:rsidP="00B856FB">
      <w:pPr>
        <w:jc w:val="both"/>
        <w:rPr>
          <w:szCs w:val="20"/>
        </w:rPr>
      </w:pPr>
    </w:p>
    <w:p w:rsidR="00EC3D5B" w:rsidRPr="00433A86" w:rsidRDefault="00EC3D5B" w:rsidP="00B856FB">
      <w:pPr>
        <w:jc w:val="both"/>
        <w:rPr>
          <w:b/>
          <w:bCs/>
          <w:szCs w:val="20"/>
        </w:rPr>
      </w:pPr>
    </w:p>
    <w:p w:rsidR="00EC3D5B" w:rsidRPr="00433A86" w:rsidRDefault="00EC3D5B" w:rsidP="00B856FB">
      <w:pPr>
        <w:jc w:val="both"/>
        <w:rPr>
          <w:b/>
          <w:bCs/>
          <w:szCs w:val="20"/>
        </w:rPr>
      </w:pPr>
      <w:r w:rsidRPr="00433A86">
        <w:rPr>
          <w:b/>
          <w:bCs/>
          <w:szCs w:val="20"/>
        </w:rPr>
        <w:t>Terminologie financiară</w:t>
      </w:r>
    </w:p>
    <w:p w:rsidR="00EC3D5B" w:rsidRPr="00433A86" w:rsidRDefault="00EC3D5B" w:rsidP="00B856FB">
      <w:pPr>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eastAsia="Arial Unicode MS" w:cs="Arial"/>
                <w:szCs w:val="20"/>
              </w:rPr>
            </w:pPr>
            <w:r w:rsidRPr="00433A86">
              <w:rPr>
                <w:rFonts w:cs="Arial"/>
                <w:szCs w:val="20"/>
              </w:rPr>
              <w:t>Avans</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B64AB9" w:rsidP="00BE3B5D">
            <w:pPr>
              <w:pStyle w:val="Normal1"/>
              <w:ind w:left="142" w:right="142"/>
              <w:rPr>
                <w:rFonts w:eastAsia="Arial Unicode MS" w:cs="Arial"/>
                <w:szCs w:val="20"/>
              </w:rPr>
            </w:pPr>
            <w:r w:rsidRPr="00433A86">
              <w:rPr>
                <w:szCs w:val="20"/>
              </w:rPr>
              <w:t xml:space="preserve">Sume transferate din prefinanţare de către Beneficiar unui contractor, în baza documentelor justificative, conform legii,  </w:t>
            </w:r>
            <w:r w:rsidRPr="00433A86">
              <w:rPr>
                <w:rFonts w:cs="TimesNewRomanPSMT"/>
                <w:szCs w:val="20"/>
                <w:lang w:val="en-US"/>
              </w:rPr>
              <w:t>în limita şi încondiţiile stabilite de Autoritatea de management prin contractele/deciziile/ordinele de finanţare</w:t>
            </w:r>
            <w:r w:rsidRPr="00433A86">
              <w:rPr>
                <w:szCs w:val="20"/>
              </w:rPr>
              <w:t xml:space="preserve"> (Art. 17, alin. (2) din Ordonanţa de Urgenţă nr. 64 din 2009, cu modificările şi completările ulterioare)</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Cheltuielile suplimentare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E3B5D">
            <w:pPr>
              <w:spacing w:before="60" w:after="60"/>
              <w:ind w:left="142" w:right="142"/>
              <w:jc w:val="both"/>
              <w:rPr>
                <w:szCs w:val="20"/>
              </w:rPr>
            </w:pPr>
            <w:r w:rsidRPr="00433A86">
              <w:rPr>
                <w:szCs w:val="20"/>
              </w:rPr>
              <w:t xml:space="preserve">În înţelesul prezentului Ghid, reprezintă cheltuielile care intervin în derularea proiectului, ulterior încheierii contractului de finanţare, fără de care proiectul nu poate fi implementat, şi care vor fi suportate în </w:t>
            </w:r>
            <w:r w:rsidRPr="00433A86">
              <w:rPr>
                <w:szCs w:val="20"/>
              </w:rPr>
              <w:lastRenderedPageBreak/>
              <w:t xml:space="preserve">integralitate de către beneficiarul finanţării nerambursabile, indiferent dacă se încadrează sau nu în categoriile de cheltuieli eligibile, astfel cum acestea sunt stabilite prin </w:t>
            </w:r>
            <w:r w:rsidR="00BE3B5D" w:rsidRPr="00433A86">
              <w:rPr>
                <w:szCs w:val="20"/>
              </w:rPr>
              <w:t>ordinele de cheltuieli eligibile aferente priorităților de investiție POR 2014-2020.</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lastRenderedPageBreak/>
              <w:t>Cheltuieli eligibile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E1552D">
            <w:pPr>
              <w:spacing w:before="60" w:after="60"/>
              <w:ind w:left="142" w:right="142"/>
              <w:jc w:val="both"/>
              <w:rPr>
                <w:szCs w:val="20"/>
              </w:rPr>
            </w:pPr>
            <w:r w:rsidRPr="00433A86">
              <w:rPr>
                <w:rStyle w:val="rvts7"/>
                <w:rFonts w:cs="Tahoma"/>
                <w:szCs w:val="20"/>
              </w:rPr>
              <w:t>Cheltuielile realizate de către un beneficiar, aferente proiectelor finanţate în cadrul programelor operaţionale, care pot fi finanţate atât din instrumente structurale, cât şi din bugetul de stat şi/sau contribuţia proprie a beneficiarului, conform reglementărilor legale com</w:t>
            </w:r>
            <w:r w:rsidR="00BE3B5D" w:rsidRPr="00433A86">
              <w:rPr>
                <w:rStyle w:val="rvts7"/>
                <w:rFonts w:cs="Tahoma"/>
                <w:szCs w:val="20"/>
              </w:rPr>
              <w:t>unitare şi naţionale în vigoare</w:t>
            </w:r>
            <w:r w:rsidRPr="00433A86">
              <w:rPr>
                <w:szCs w:val="20"/>
              </w:rPr>
              <w:t xml:space="preserve">. Categoriile de cheltuieli eligibile </w:t>
            </w:r>
            <w:r w:rsidR="00E1552D" w:rsidRPr="00433A86">
              <w:rPr>
                <w:szCs w:val="20"/>
              </w:rPr>
              <w:t>s</w:t>
            </w:r>
            <w:r w:rsidR="00BE3B5D" w:rsidRPr="00433A86">
              <w:rPr>
                <w:szCs w:val="20"/>
              </w:rPr>
              <w:t>unt detaliate pentru fiecare prioritate de in</w:t>
            </w:r>
            <w:r w:rsidR="00E1552D" w:rsidRPr="00433A86">
              <w:rPr>
                <w:szCs w:val="20"/>
              </w:rPr>
              <w:t>vestiții</w:t>
            </w:r>
            <w:r w:rsidR="00BE3B5D" w:rsidRPr="00433A86">
              <w:rPr>
                <w:szCs w:val="20"/>
              </w:rPr>
              <w:t xml:space="preserve"> în parte</w:t>
            </w:r>
            <w:r w:rsidR="00E1552D" w:rsidRPr="00433A86">
              <w:rPr>
                <w:szCs w:val="20"/>
              </w:rPr>
              <w:t xml:space="preserve"> în cadrul ordinelor de cheltuieli ne-eligibile. </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Cheltuieli neeligibile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În înţelesul prezentului Ghid, reprezintă cheltuieli inerente realizării proiectelor finanţate din instrumentele structurale în cadrul programelor operaţionale, care nu pot fi finanţate din instrumentele structurale, conform reglementărilor comunitare şi naţionale.</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Co-finanţare publică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rStyle w:val="rvts7"/>
                <w:rFonts w:cs="Tahoma"/>
                <w:szCs w:val="20"/>
              </w:rPr>
              <w:t>Sumele alocate în bugetele prevăzute la </w:t>
            </w:r>
            <w:r w:rsidRPr="00433A86">
              <w:rPr>
                <w:rFonts w:cs="Tahoma"/>
                <w:szCs w:val="20"/>
              </w:rPr>
              <w:t>art. 1</w:t>
            </w:r>
            <w:r w:rsidRPr="00433A86">
              <w:rPr>
                <w:rStyle w:val="rvts7"/>
                <w:rFonts w:cs="Tahoma"/>
                <w:szCs w:val="20"/>
              </w:rPr>
              <w:t> alin. (2) din Legea nr. 500/2002 privind finanţele publice, cu modificările ulterioare, la </w:t>
            </w:r>
            <w:r w:rsidRPr="00433A86">
              <w:rPr>
                <w:rFonts w:cs="Tahoma"/>
                <w:szCs w:val="20"/>
              </w:rPr>
              <w:t>art. 1</w:t>
            </w:r>
            <w:r w:rsidRPr="00433A86">
              <w:rPr>
                <w:rStyle w:val="rvts7"/>
                <w:rFonts w:cs="Tahoma"/>
                <w:szCs w:val="20"/>
              </w:rPr>
              <w:t xml:space="preserve"> alin. (2) din Legea nr. 273/2006 privind finanţele publice locale, cu modificările şi completările ulterioare, respectiv în bugetele organismelor prestatoare de servicii publice şi de utilitate publică de interes local sau judeţean, după caz, precum şi alte cheltuieli similare, în sensul art. 2 (5) din Regulamentul (CE) nr. 1.083/2006 al Consiliului din 11 iulie 2006 de stabilire a prevederilor generale privind Fondul European de Dezvoltare Regională, Fondul Social European şi Fondul de Coeziune şi de abrogare a Regulamentului (CE) nr. 1.260/1999, pentru finanţarea cheltuielilor eligibile aferente proiectelor finanţate în cadrul programelor operaţionale </w:t>
            </w:r>
            <w:r w:rsidRPr="00433A86">
              <w:rPr>
                <w:szCs w:val="20"/>
              </w:rPr>
              <w:t>(art. 1 alin. (2) lit. k) din OG nr. 29/2007, cu modificările şi completările ulterioare).</w:t>
            </w:r>
          </w:p>
          <w:p w:rsidR="00EC3D5B" w:rsidRPr="00433A86" w:rsidRDefault="00EC3D5B" w:rsidP="00B856FB">
            <w:pPr>
              <w:spacing w:before="60" w:after="60"/>
              <w:ind w:left="142" w:right="142"/>
              <w:jc w:val="both"/>
              <w:rPr>
                <w:szCs w:val="20"/>
              </w:rPr>
            </w:pPr>
            <w:r w:rsidRPr="00433A86">
              <w:rPr>
                <w:szCs w:val="20"/>
              </w:rPr>
              <w:t>Vezi şi definiţia pentru „Finanţare publică”.</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Co-finanţare privată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E1552D">
            <w:pPr>
              <w:spacing w:before="60" w:after="60"/>
              <w:ind w:left="142" w:right="142"/>
              <w:jc w:val="both"/>
              <w:rPr>
                <w:szCs w:val="20"/>
              </w:rPr>
            </w:pPr>
            <w:r w:rsidRPr="00433A86">
              <w:rPr>
                <w:rStyle w:val="rvts5"/>
                <w:rFonts w:cs="Tahoma"/>
                <w:szCs w:val="20"/>
              </w:rPr>
              <w:t>Orice contribuţie la finanţarea cheltuielilor eligibile, alta decât co-finanţarea publică, aferentă proiectelor finanţate în cadrul programelor operaţionale</w:t>
            </w:r>
            <w:r w:rsidRPr="00433A86">
              <w:rPr>
                <w:szCs w:val="20"/>
              </w:rPr>
              <w:t>.</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rFonts w:eastAsia="Arial Unicode MS"/>
                <w:szCs w:val="20"/>
              </w:rPr>
            </w:pPr>
            <w:r w:rsidRPr="00433A86">
              <w:rPr>
                <w:szCs w:val="20"/>
              </w:rPr>
              <w:t>Finanţare publică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 xml:space="preserve">Finanţare din fonduri publice. </w:t>
            </w:r>
          </w:p>
          <w:p w:rsidR="00EC3D5B" w:rsidRPr="00433A86" w:rsidRDefault="00EC3D5B" w:rsidP="00B856FB">
            <w:pPr>
              <w:spacing w:before="60" w:after="60"/>
              <w:ind w:left="142" w:right="142"/>
              <w:jc w:val="both"/>
              <w:rPr>
                <w:szCs w:val="20"/>
              </w:rPr>
            </w:pPr>
            <w:r w:rsidRPr="00433A86">
              <w:rPr>
                <w:szCs w:val="20"/>
              </w:rPr>
              <w:t>Fondurile publice reprezintă sumele alocate de la bugetul de stat, bugetul asigurărilor sociale de stat, bugetele fondurilor speciale, bugetul trezoreriei statului, bugetele instituţiilor publice autonome, bugetele instituţiilor publice finanţate integral sau parţial din bugetul de stat, bugetul asigurărilor sociale de stat şi bugetele fondurilor speciale, după caz, bugetele instituţiilor publice finanţate integral din venituri proprii, bugetul fondurilor provenite din credite externe contractate sau garantate de stat şi ale căror rambursare, dobânzi şi alte costuri se asigură din fonduri publice; bugetul fondurilor externe nerambursabile</w:t>
            </w:r>
            <w:r w:rsidRPr="00433A86">
              <w:rPr>
                <w:rStyle w:val="FootnoteReference"/>
                <w:szCs w:val="20"/>
              </w:rPr>
              <w:footnoteReference w:id="6"/>
            </w:r>
            <w:r w:rsidRPr="00433A86">
              <w:rPr>
                <w:szCs w:val="20"/>
              </w:rPr>
              <w:t xml:space="preserve">. </w:t>
            </w:r>
          </w:p>
          <w:p w:rsidR="00EC3D5B" w:rsidRPr="00433A86" w:rsidRDefault="00EC3D5B" w:rsidP="00B856FB">
            <w:pPr>
              <w:spacing w:before="60" w:after="60"/>
              <w:ind w:left="142" w:right="142"/>
              <w:jc w:val="both"/>
              <w:rPr>
                <w:rFonts w:eastAsia="Arial Unicode MS"/>
                <w:szCs w:val="20"/>
              </w:rPr>
            </w:pPr>
            <w:r w:rsidRPr="00433A86">
              <w:rPr>
                <w:szCs w:val="20"/>
              </w:rPr>
              <w:t xml:space="preserve">Fonduri publice locale reprezintă sumele alocate de la bugetele locale ale comunelor, oraşelor, municipiilor, sectoarelor municipiului Bucureşti, judeţelor şi municipiului Bucureşti, bugetele instituţiilor publice finanţate integral sau parţial din bugetele locale, după caz, bugetele instituţiilor publice finanţate integral din venituri proprii, bugetul împrumuturilor externe şi interne, pentru care rambursarea, plata dobânzilor, comisioanelor, spezelor şi a altor costuri se asigură din bugetele locale (şi care provin din: împrumuturi externe contractate de stat şi subîmprumutate autorităţilor administraţiei publice locale şi/sau </w:t>
            </w:r>
            <w:r w:rsidRPr="00433A86">
              <w:rPr>
                <w:szCs w:val="20"/>
              </w:rPr>
              <w:lastRenderedPageBreak/>
              <w:t>agenţilor economici şi serviciilor publice din subordinea acestora), împrumuturi contractate de autorităţile administraţiei publice locale şi garantate de stat, împrumuturi externe şi/sau interne contractate sau garantate de autorităţile administraţiei publice locale, bugetul fondurilor externe nerambursabile</w:t>
            </w:r>
            <w:r w:rsidRPr="00433A86">
              <w:rPr>
                <w:rStyle w:val="FootnoteReference"/>
                <w:szCs w:val="20"/>
              </w:rPr>
              <w:footnoteReference w:id="7"/>
            </w:r>
            <w:r w:rsidRPr="00433A86">
              <w:rPr>
                <w:szCs w:val="20"/>
              </w:rPr>
              <w:t>.</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lastRenderedPageBreak/>
              <w:t>Insolvenţă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 xml:space="preserve">a) Incapacitatea unei unităţi administrativ-teritoriale de a-şi achita obligaţiile de plată lichide şi exigibile, cu excepţia celor care se află în litigiu contractual (Art. 2, alin. 38 din Legea nr. 273/2006 a finanţelor publice locale, </w:t>
            </w:r>
            <w:r w:rsidRPr="00433A86">
              <w:rPr>
                <w:rFonts w:eastAsia="Arial Unicode MS" w:cs="Arial"/>
                <w:szCs w:val="20"/>
              </w:rPr>
              <w:t>cu modificările şi completările ulterioare</w:t>
            </w:r>
            <w:r w:rsidRPr="00433A86">
              <w:rPr>
                <w:rFonts w:cs="Arial"/>
                <w:szCs w:val="20"/>
              </w:rPr>
              <w:t>)</w:t>
            </w:r>
          </w:p>
          <w:p w:rsidR="00EC3D5B" w:rsidRPr="00433A86" w:rsidRDefault="00EC3D5B" w:rsidP="00B856FB">
            <w:pPr>
              <w:pStyle w:val="marked"/>
              <w:pBdr>
                <w:left w:val="single" w:sz="4" w:space="6" w:color="808080"/>
              </w:pBdr>
              <w:ind w:left="142" w:right="142"/>
              <w:rPr>
                <w:szCs w:val="20"/>
              </w:rPr>
            </w:pPr>
            <w:r w:rsidRPr="00433A86">
              <w:rPr>
                <w:szCs w:val="20"/>
              </w:rPr>
              <w:t>O unitate administrativ teritorială este considerată în stare de insolvenţă dacă se află în una dintre următoarele situaţii: a) neachitarea obligaţiilor de plată, lichide şi exigibile, mai vechi de 120 de zile şi care depăşesc 50% din bugetul anual, fără a se lua în calcul cele aflate în litigiu contractual; b) neachitarea drepturilor salariale prevăzute în bugetul de venituri şi cheltuieli, pe o perioadă mai mare de 120 de zile de la data scadenţei (vezi Legea nr. 273/2006 privind finanţele publice locale, art. 75, cu modificările şi completările ulterioare).</w:t>
            </w:r>
          </w:p>
          <w:p w:rsidR="00EC3D5B" w:rsidRPr="00433A86" w:rsidRDefault="00EC3D5B" w:rsidP="00B856FB">
            <w:pPr>
              <w:autoSpaceDE w:val="0"/>
              <w:autoSpaceDN w:val="0"/>
              <w:adjustRightInd w:val="0"/>
              <w:spacing w:before="60" w:after="60"/>
              <w:ind w:left="142" w:right="142"/>
              <w:jc w:val="both"/>
              <w:rPr>
                <w:rFonts w:cs="Arial"/>
                <w:szCs w:val="20"/>
              </w:rPr>
            </w:pPr>
            <w:r w:rsidRPr="00433A86">
              <w:rPr>
                <w:rFonts w:cs="Arial"/>
                <w:szCs w:val="20"/>
              </w:rPr>
              <w:t>b) Acea stare a patrimoniului debitorului care se caracterizează prin insuficienţa fondurilor băneşti disponibile pentru plata datoriilor exigibile:</w:t>
            </w:r>
          </w:p>
          <w:p w:rsidR="00EC3D5B" w:rsidRPr="00433A86" w:rsidRDefault="00EC3D5B" w:rsidP="00B856FB">
            <w:pPr>
              <w:autoSpaceDE w:val="0"/>
              <w:autoSpaceDN w:val="0"/>
              <w:adjustRightInd w:val="0"/>
              <w:spacing w:before="60" w:after="60"/>
              <w:ind w:left="142" w:right="142"/>
              <w:jc w:val="both"/>
              <w:rPr>
                <w:rFonts w:cs="Arial"/>
                <w:szCs w:val="20"/>
              </w:rPr>
            </w:pPr>
            <w:r w:rsidRPr="00433A86">
              <w:rPr>
                <w:rFonts w:cs="Arial"/>
                <w:szCs w:val="20"/>
              </w:rPr>
              <w:t xml:space="preserve">    a) insolvenţa este prezumată ca fiind vădită atunci când debitorul, după 30 de zile de la scadenţă, nu a plătit datoria sa faţă de unul sau mai mulţi creditori;</w:t>
            </w:r>
          </w:p>
          <w:p w:rsidR="00EC3D5B" w:rsidRPr="00433A86" w:rsidRDefault="00EC3D5B" w:rsidP="00B856FB">
            <w:pPr>
              <w:autoSpaceDE w:val="0"/>
              <w:autoSpaceDN w:val="0"/>
              <w:adjustRightInd w:val="0"/>
              <w:spacing w:before="60" w:after="60"/>
              <w:ind w:left="142" w:right="142"/>
              <w:jc w:val="both"/>
              <w:rPr>
                <w:rFonts w:cs="Arial"/>
                <w:szCs w:val="20"/>
              </w:rPr>
            </w:pPr>
            <w:r w:rsidRPr="00433A86">
              <w:rPr>
                <w:rFonts w:cs="Arial"/>
                <w:szCs w:val="20"/>
              </w:rPr>
              <w:t xml:space="preserve">    b) insolvenţa este iminentă atunci când se dovedeşte că debitorul nu va putea plăti la scadenţă datoriile exigibile angajate, cu fondurile băneşti disponibile la data scadenţei;</w:t>
            </w:r>
          </w:p>
          <w:p w:rsidR="00EC3D5B" w:rsidRPr="00433A86" w:rsidRDefault="00EC3D5B" w:rsidP="00B856FB">
            <w:pPr>
              <w:pStyle w:val="Normal1"/>
              <w:ind w:left="142" w:right="142"/>
              <w:rPr>
                <w:rFonts w:cs="Arial"/>
                <w:szCs w:val="20"/>
              </w:rPr>
            </w:pPr>
            <w:r w:rsidRPr="00433A86">
              <w:rPr>
                <w:rFonts w:cs="Arial"/>
                <w:szCs w:val="20"/>
              </w:rPr>
              <w:t>[ cf. art. 3, alin. 1 din Legea nr. 85/2006 privind procedura insolvenţei, publicată în M.Of. nr. 359 din 21 aprilie 2006]</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Pre-finanţare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rStyle w:val="rvts7"/>
                <w:rFonts w:cs="Tahoma"/>
                <w:szCs w:val="20"/>
              </w:rPr>
              <w:t>Sumele transferate din bugetul de stat sau din instrumente structurale către un beneficiar, dacă acest transfer nu se realizează în cadrul unui proiect care intră sub incidenţa ajutorului de stat/de minimis, prin plată directă sau prin plată indirectă, de regulă în stadiul iniţial de implementare a proiectelor, în baza unui contract de finanţare încheiat între beneficiar şi Autoritatea de management/Organismul intermediar responsabilă/responsabil, în vederea asigurării derulării corespunzătoare a proiectelor</w:t>
            </w:r>
            <w:r w:rsidRPr="00433A86">
              <w:rPr>
                <w:szCs w:val="20"/>
              </w:rPr>
              <w:t xml:space="preserve"> [art.1 alin (2) lit. i) din OG nr. 29/2007, cu modificările şi completările ulterioare].</w:t>
            </w:r>
          </w:p>
        </w:tc>
      </w:tr>
    </w:tbl>
    <w:p w:rsidR="00EC3D5B" w:rsidRPr="00433A86" w:rsidRDefault="00EC3D5B" w:rsidP="00B856FB">
      <w:pPr>
        <w:jc w:val="both"/>
        <w:rPr>
          <w:szCs w:val="20"/>
        </w:rPr>
      </w:pPr>
    </w:p>
    <w:p w:rsidR="00EC3D5B" w:rsidRPr="00433A86" w:rsidRDefault="00EC3D5B" w:rsidP="00B856FB">
      <w:pPr>
        <w:jc w:val="both"/>
        <w:rPr>
          <w:b/>
          <w:bCs/>
          <w:szCs w:val="20"/>
        </w:rPr>
      </w:pPr>
    </w:p>
    <w:p w:rsidR="004C397F" w:rsidRPr="00433A86" w:rsidRDefault="004C397F" w:rsidP="00B856FB">
      <w:pPr>
        <w:jc w:val="both"/>
        <w:rPr>
          <w:b/>
          <w:bCs/>
          <w:szCs w:val="20"/>
        </w:rPr>
      </w:pPr>
      <w:r w:rsidRPr="00433A86">
        <w:rPr>
          <w:b/>
          <w:bCs/>
          <w:szCs w:val="20"/>
        </w:rPr>
        <w:t>Instrumente financiare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1"/>
        <w:gridCol w:w="6964"/>
      </w:tblGrid>
      <w:tr w:rsidR="004C397F" w:rsidRPr="00433A86" w:rsidTr="004C397F">
        <w:tc>
          <w:tcPr>
            <w:tcW w:w="2231" w:type="dxa"/>
            <w:tcBorders>
              <w:top w:val="single" w:sz="4" w:space="0" w:color="333333"/>
              <w:left w:val="nil"/>
              <w:bottom w:val="single" w:sz="4" w:space="0" w:color="333333"/>
              <w:right w:val="nil"/>
            </w:tcBorders>
            <w:tcMar>
              <w:top w:w="16" w:type="dxa"/>
              <w:left w:w="16" w:type="dxa"/>
              <w:bottom w:w="0" w:type="dxa"/>
              <w:right w:w="16" w:type="dxa"/>
            </w:tcMar>
          </w:tcPr>
          <w:p w:rsidR="004C397F" w:rsidRPr="00433A86" w:rsidRDefault="004C397F" w:rsidP="00DE7318">
            <w:pPr>
              <w:ind w:left="181" w:right="221"/>
              <w:jc w:val="both"/>
              <w:rPr>
                <w:szCs w:val="20"/>
              </w:rPr>
            </w:pPr>
            <w:r w:rsidRPr="00433A86">
              <w:rPr>
                <w:szCs w:val="20"/>
              </w:rPr>
              <w:t xml:space="preserve">Instrument financiar </w:t>
            </w:r>
          </w:p>
        </w:tc>
        <w:tc>
          <w:tcPr>
            <w:tcW w:w="6964" w:type="dxa"/>
            <w:tcBorders>
              <w:top w:val="single" w:sz="4" w:space="0" w:color="333333"/>
              <w:left w:val="nil"/>
              <w:bottom w:val="single" w:sz="4" w:space="0" w:color="333333"/>
              <w:right w:val="nil"/>
            </w:tcBorders>
            <w:tcMar>
              <w:top w:w="16" w:type="dxa"/>
              <w:left w:w="16" w:type="dxa"/>
              <w:bottom w:w="0" w:type="dxa"/>
              <w:right w:w="16" w:type="dxa"/>
            </w:tcMar>
          </w:tcPr>
          <w:p w:rsidR="004C397F" w:rsidRPr="00433A86" w:rsidRDefault="004C397F" w:rsidP="004C397F">
            <w:pPr>
              <w:spacing w:before="0" w:after="0"/>
              <w:jc w:val="both"/>
              <w:rPr>
                <w:szCs w:val="20"/>
              </w:rPr>
            </w:pPr>
            <w:r w:rsidRPr="00433A86">
              <w:rPr>
                <w:szCs w:val="20"/>
              </w:rPr>
              <w:t>Instrumentele financiare reprezintă un mod eficient de mobilizare a resurselor din cadrul politicii de coeziune în vederea realizării obiectivelor strategiei Europa 2020. Ţintite către proiecte cu potenţială viabilitate economică, instrumentele financiare oferă sprijin investitorilor prin împrumuturi, garanţii, investiţii de capital şi alte mecanisme purtătoare de risc, care pot fi combinate cu asistenţă tehnică, subvenţii la dobândă sau contribuţii la comisioanele de garantare în cadrul aceleiași operaţiuni. Instrumentele financiare care sunt utilizate din fondurile POR sunt identificate în baza unei evaluări ex-ante elaborate de Fondul European de Investiţii.</w:t>
            </w:r>
          </w:p>
        </w:tc>
      </w:tr>
    </w:tbl>
    <w:p w:rsidR="004C397F" w:rsidRPr="00433A86" w:rsidRDefault="004C397F" w:rsidP="00B856FB">
      <w:pPr>
        <w:jc w:val="both"/>
        <w:rPr>
          <w:b/>
          <w:bCs/>
          <w:szCs w:val="20"/>
        </w:rPr>
      </w:pPr>
    </w:p>
    <w:p w:rsidR="00EC3D5B" w:rsidRPr="00433A86" w:rsidRDefault="00EC3D5B" w:rsidP="00B856FB">
      <w:pPr>
        <w:jc w:val="both"/>
        <w:rPr>
          <w:b/>
          <w:bCs/>
          <w:szCs w:val="20"/>
        </w:rPr>
      </w:pPr>
      <w:r w:rsidRPr="00433A86">
        <w:rPr>
          <w:b/>
          <w:bCs/>
          <w:szCs w:val="20"/>
        </w:rPr>
        <w:t>Ajutor de stat</w:t>
      </w:r>
    </w:p>
    <w:p w:rsidR="00EC3D5B" w:rsidRPr="00433A86" w:rsidRDefault="00EC3D5B" w:rsidP="00B856FB">
      <w:pPr>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1"/>
        <w:gridCol w:w="6605"/>
        <w:gridCol w:w="359"/>
      </w:tblGrid>
      <w:tr w:rsidR="00EC3D5B"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Active totale</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Activele totale se referă la valoarea bunurilor unei întreprinderi: active imobilizate (imobilizări necorporale, corporale şi financiare) + active circulante (stocuri, producţia în curs de executare, creanţe şi alte valori în curs de valorificare) + cheltuieli în avans.</w:t>
            </w:r>
          </w:p>
        </w:tc>
      </w:tr>
      <w:tr w:rsidR="00EC3D5B"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Ajutor de stat</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Orice ajutor acordat de stat sau din resurse ale statului în orice formă care distorsionează sau ameninţă să distorsioneze concurenţa prin favorizarea unor întreprinderi sau producţia anumitor bunuri, în măsura în care afectează comerţul între statele membre (vezi şi „Schemă pentru ajutor de stat”)</w:t>
            </w:r>
          </w:p>
        </w:tc>
      </w:tr>
      <w:tr w:rsidR="004C397F"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tcPr>
          <w:p w:rsidR="004C397F" w:rsidRPr="00433A86" w:rsidRDefault="004C397F" w:rsidP="00B64AB9">
            <w:pPr>
              <w:ind w:left="181" w:right="221"/>
              <w:jc w:val="both"/>
              <w:rPr>
                <w:szCs w:val="20"/>
              </w:rPr>
            </w:pPr>
            <w:r w:rsidRPr="00433A86">
              <w:rPr>
                <w:szCs w:val="20"/>
              </w:rPr>
              <w:t>Ajutor de stat regional</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tcPr>
          <w:p w:rsidR="004C397F" w:rsidRPr="00433A86" w:rsidRDefault="004C397F" w:rsidP="004C397F">
            <w:pPr>
              <w:autoSpaceDE w:val="0"/>
              <w:autoSpaceDN w:val="0"/>
              <w:adjustRightInd w:val="0"/>
              <w:spacing w:before="0" w:after="0"/>
              <w:jc w:val="both"/>
              <w:rPr>
                <w:rFonts w:cs="EUAlbertina-Regu"/>
                <w:szCs w:val="20"/>
                <w:lang w:eastAsia="ro-RO"/>
              </w:rPr>
            </w:pPr>
            <w:r w:rsidRPr="00433A86">
              <w:rPr>
                <w:rFonts w:cs="EUAlbertina-Regu"/>
                <w:szCs w:val="20"/>
                <w:lang w:eastAsia="ro-RO"/>
              </w:rPr>
              <w:t xml:space="preserve">Prin contracararea handicapurilor care afectează regiunile defavorizate, ajutoarele regionale promovează coeziunea economică, socială și teritorială a statelor membre și a Uniunii în ansamblul său. Ajutoarele regionale au ca obiectiv susținerea dezvoltării zonelor celor mai defavorizate, prin încurajarea investițiilor și a creării de locuri de muncă într-un context durabil. Pot fi acordate ajutoare regionale pentru a promova înființarea de noi unități, extinderea capacității unei unități existente, diversificarea producției unei unități sau o schimbare fundamentală în procesul general de producție al unei unități existente. </w:t>
            </w:r>
          </w:p>
        </w:tc>
      </w:tr>
      <w:tr w:rsidR="00B64AB9"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ind w:left="181" w:right="221"/>
              <w:jc w:val="both"/>
              <w:rPr>
                <w:szCs w:val="20"/>
              </w:rPr>
            </w:pPr>
            <w:r w:rsidRPr="00433A86">
              <w:rPr>
                <w:szCs w:val="20"/>
              </w:rPr>
              <w:t>Ajutor de minimis</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spacing w:before="60" w:after="60"/>
              <w:ind w:left="142" w:right="142"/>
              <w:jc w:val="both"/>
              <w:rPr>
                <w:szCs w:val="20"/>
              </w:rPr>
            </w:pPr>
            <w:r w:rsidRPr="00433A86">
              <w:rPr>
                <w:szCs w:val="20"/>
              </w:rPr>
              <w:t>Valoarea maximă a ajutorului, în regim de minimis, ce poate fi acordat unei întreprinderi, din fonduri publice, într-o perioadă de până la 3 ani fiscali (ultimii 2 ani fiscali înainte de data depunerii cererii de finanţare şi anul curent depunerii cererii de finanţare) este de 200.000 de euro, în conformitate cu reglementările comunitare privind concurenţa şi ajutorul de stat.</w:t>
            </w:r>
          </w:p>
          <w:p w:rsidR="00B64AB9" w:rsidRPr="00433A86" w:rsidRDefault="00B64AB9" w:rsidP="00B64AB9">
            <w:pPr>
              <w:spacing w:before="60" w:after="60"/>
              <w:ind w:left="142" w:right="142"/>
              <w:jc w:val="both"/>
              <w:rPr>
                <w:szCs w:val="20"/>
              </w:rPr>
            </w:pPr>
            <w:r w:rsidRPr="00433A86">
              <w:rPr>
                <w:szCs w:val="20"/>
              </w:rPr>
              <w:t>În cazul întreprinderilor din domeniul transportului rutier (transportul de marfă şi transportul de călători pe cale rutieră), valoarea maximă a ajutorului ce poate fi acordat în regim de minimis este de 100.000 de euro.</w:t>
            </w:r>
          </w:p>
        </w:tc>
      </w:tr>
      <w:tr w:rsidR="00AE1373"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ind w:left="181" w:right="221"/>
              <w:jc w:val="both"/>
              <w:rPr>
                <w:szCs w:val="20"/>
              </w:rPr>
            </w:pPr>
            <w:r w:rsidRPr="00433A86">
              <w:rPr>
                <w:szCs w:val="20"/>
              </w:rPr>
              <w:t>Asociaţii care reprezintă mediul de afaceri (AS)</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spacing w:before="60" w:after="60"/>
              <w:ind w:left="142" w:right="142"/>
              <w:jc w:val="both"/>
              <w:rPr>
                <w:szCs w:val="20"/>
              </w:rPr>
            </w:pPr>
            <w:r w:rsidRPr="00433A86">
              <w:rPr>
                <w:szCs w:val="20"/>
              </w:rPr>
              <w:t>În sensul acestui ghid, asociaţii constituite în baza Ordonanţei Guvernului nr. 26/2000 cu privire la asociaţii şi fundaţii şi a Legii nr. 356/2001 a patronatelor</w:t>
            </w:r>
          </w:p>
        </w:tc>
      </w:tr>
      <w:tr w:rsidR="00AE1373"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ind w:left="180" w:right="219"/>
              <w:jc w:val="both"/>
              <w:rPr>
                <w:szCs w:val="20"/>
              </w:rPr>
            </w:pPr>
            <w:r w:rsidRPr="00433A86">
              <w:rPr>
                <w:szCs w:val="20"/>
              </w:rPr>
              <w:t>Cifra de afaceri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ind w:left="109" w:right="164"/>
              <w:jc w:val="both"/>
              <w:rPr>
                <w:szCs w:val="20"/>
              </w:rPr>
            </w:pPr>
            <w:r w:rsidRPr="00433A86">
              <w:rPr>
                <w:szCs w:val="20"/>
              </w:rPr>
              <w:t>Cifra de afaceri anuală netă este stabilită prin calcularea veniturilor pe care întreprinderea le realizează în cursul unui an din vânzări şi servicii, după deducerea reducerilor comerciale şi a taxei pe valoarea adăugată, precum şi a altor taxe indirecte.</w:t>
            </w:r>
          </w:p>
        </w:tc>
      </w:tr>
      <w:tr w:rsidR="00EC3D5B"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Investiţie iniţială</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9C14BB" w:rsidRPr="00433A86" w:rsidRDefault="009C14BB" w:rsidP="009C14BB">
            <w:pPr>
              <w:numPr>
                <w:ilvl w:val="0"/>
                <w:numId w:val="7"/>
              </w:numPr>
              <w:ind w:right="164"/>
              <w:jc w:val="both"/>
              <w:rPr>
                <w:szCs w:val="20"/>
              </w:rPr>
            </w:pPr>
            <w:r w:rsidRPr="00433A86">
              <w:rPr>
                <w:szCs w:val="20"/>
              </w:rPr>
              <w:t>Investiţie în active corporale şi/sau necorporale referitoare la înfiinţarea unei noi unităţi, la extinderea unei unităţi existente, la diversificarea producţiei unei unităţi prin realizarea de produse noi, suplimentare sau la o schimbare fundamentală a procesului global de producţie a unei unităţi existente</w:t>
            </w:r>
          </w:p>
          <w:p w:rsidR="00EC3D5B" w:rsidRPr="00433A86" w:rsidRDefault="009C14BB" w:rsidP="009C14BB">
            <w:pPr>
              <w:numPr>
                <w:ilvl w:val="0"/>
                <w:numId w:val="7"/>
              </w:numPr>
              <w:ind w:right="164"/>
              <w:jc w:val="both"/>
              <w:rPr>
                <w:szCs w:val="20"/>
              </w:rPr>
            </w:pPr>
            <w:r w:rsidRPr="00433A86">
              <w:rPr>
                <w:szCs w:val="20"/>
              </w:rPr>
              <w:t>Achiziţionarea unor active, în corelaţie directă cu un amplasament de producţie, în cazul în care amplasamentul respectiv este închis sau ar fi fost închis în condiţiile în care nu ar fi fost cumpărat, iar activele au fost achiziţionate de către un investitor independent.</w:t>
            </w:r>
          </w:p>
        </w:tc>
      </w:tr>
      <w:tr w:rsidR="00B64AB9"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tcPr>
          <w:p w:rsidR="00B64AB9" w:rsidRPr="00433A86" w:rsidRDefault="00B64AB9" w:rsidP="00B64AB9">
            <w:pPr>
              <w:ind w:left="181" w:right="221"/>
              <w:jc w:val="both"/>
              <w:rPr>
                <w:szCs w:val="20"/>
              </w:rPr>
            </w:pPr>
            <w:r w:rsidRPr="00433A86">
              <w:rPr>
                <w:szCs w:val="20"/>
              </w:rPr>
              <w:t>Insolvenţă</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tcPr>
          <w:p w:rsidR="00B64AB9" w:rsidRPr="00433A86" w:rsidRDefault="00B64AB9" w:rsidP="00B64AB9">
            <w:pPr>
              <w:spacing w:before="60" w:after="60"/>
              <w:ind w:left="142" w:right="142"/>
              <w:jc w:val="both"/>
              <w:rPr>
                <w:szCs w:val="20"/>
              </w:rPr>
            </w:pPr>
            <w:r w:rsidRPr="00433A86">
              <w:rPr>
                <w:szCs w:val="20"/>
              </w:rPr>
              <w:t xml:space="preserve">a) Incapacitatea unei unităţi administrativ-teritoriale de a-şi achita obligaţiile de plată lichide şi exigibile, cu excepţia celor care se află în litigiu contractual (Art. 2, alin. 38 din Legea nr. 273/2006 a finanţelor </w:t>
            </w:r>
            <w:r w:rsidRPr="00433A86">
              <w:rPr>
                <w:szCs w:val="20"/>
              </w:rPr>
              <w:lastRenderedPageBreak/>
              <w:t>publice locale, cu modificările şi completările ulterioare)</w:t>
            </w:r>
          </w:p>
          <w:p w:rsidR="00B64AB9" w:rsidRPr="00433A86" w:rsidRDefault="00B64AB9" w:rsidP="00B64AB9">
            <w:pPr>
              <w:spacing w:before="60" w:after="60"/>
              <w:ind w:left="142" w:right="142"/>
              <w:jc w:val="both"/>
              <w:rPr>
                <w:szCs w:val="20"/>
              </w:rPr>
            </w:pPr>
            <w:r w:rsidRPr="00433A86">
              <w:rPr>
                <w:szCs w:val="20"/>
              </w:rPr>
              <w:t>O unitate administrativ teritorială este considerată în stare de insolvenţă dacă se află în una dintre următoarele situaţii: a) neachitarea obligaţiilor de plată, lichide şi exigibile, mai vechi de 120 de zile şi care depăşesc 50% din bugetul anual, fără a se lua în calcul cele aflate în litigiu contractual; b) neachitarea drepturilor salariale prevăzute în bugetul de venituri şi cheltuieli, pe o perioadă mai mare de 120 de zile de la data scadenţei (vezi Legea nr. 273/2006 privind finanţele publice locale, art. 75, cu modificările şi completările ulterioare).</w:t>
            </w:r>
          </w:p>
          <w:p w:rsidR="00B64AB9" w:rsidRPr="00433A86" w:rsidRDefault="00B64AB9" w:rsidP="00B64AB9">
            <w:pPr>
              <w:spacing w:before="60" w:after="60"/>
              <w:ind w:left="142" w:right="142"/>
              <w:jc w:val="both"/>
              <w:rPr>
                <w:szCs w:val="20"/>
              </w:rPr>
            </w:pPr>
            <w:r w:rsidRPr="00433A86">
              <w:rPr>
                <w:szCs w:val="20"/>
              </w:rPr>
              <w:t>b) Acea stare a patrimoniului debitorului care se caracterizează prin insuficienţa fondurilor băneşti disponibile pentru plata datoriilor exigibile:</w:t>
            </w:r>
          </w:p>
          <w:p w:rsidR="00B64AB9" w:rsidRPr="00433A86" w:rsidRDefault="00B64AB9" w:rsidP="00B64AB9">
            <w:pPr>
              <w:spacing w:before="60" w:after="60"/>
              <w:ind w:left="142" w:right="142"/>
              <w:jc w:val="both"/>
              <w:rPr>
                <w:szCs w:val="20"/>
              </w:rPr>
            </w:pPr>
            <w:r w:rsidRPr="00433A86">
              <w:rPr>
                <w:szCs w:val="20"/>
              </w:rPr>
              <w:t xml:space="preserve">    a) insolvenţa este prezumată ca fiind vădită atunci când debitorul, după 30 de zile de la scadenţă, nu a plătit datoria sa faţă de unul sau mai mulţi creditori;</w:t>
            </w:r>
          </w:p>
          <w:p w:rsidR="00B64AB9" w:rsidRPr="00433A86" w:rsidRDefault="00B64AB9" w:rsidP="00B64AB9">
            <w:pPr>
              <w:spacing w:before="60" w:after="60"/>
              <w:ind w:left="142" w:right="142"/>
              <w:jc w:val="both"/>
              <w:rPr>
                <w:szCs w:val="20"/>
              </w:rPr>
            </w:pPr>
            <w:r w:rsidRPr="00433A86">
              <w:rPr>
                <w:szCs w:val="20"/>
              </w:rPr>
              <w:t xml:space="preserve">    b) insolvenţa este iminentă atunci când se dovedeşte că debitorul nu va putea plăti la scadenţă datoriile exigibile angajate, cu fondurile băneşti disponibile la data scadenţei;</w:t>
            </w:r>
          </w:p>
          <w:p w:rsidR="00B64AB9" w:rsidRPr="00433A86" w:rsidRDefault="00B64AB9" w:rsidP="00B64AB9">
            <w:pPr>
              <w:spacing w:before="60" w:after="60"/>
              <w:ind w:left="142" w:right="142"/>
              <w:jc w:val="both"/>
              <w:rPr>
                <w:szCs w:val="20"/>
              </w:rPr>
            </w:pPr>
            <w:r w:rsidRPr="00433A86">
              <w:rPr>
                <w:szCs w:val="20"/>
              </w:rPr>
              <w:t>[ cf. art. 3, alin. 1 din Legea nr. 85/2006 privind procedura insolvenţei, publicată în M.Of. nr. 359 din 21 aprilie 2006]</w:t>
            </w:r>
          </w:p>
        </w:tc>
      </w:tr>
      <w:tr w:rsidR="00EC3D5B"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lastRenderedPageBreak/>
              <w:t>Întreprindere</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Orice entitate angajată într-o activitate economică, indiferent de forma juridică de constituire.</w:t>
            </w:r>
          </w:p>
        </w:tc>
      </w:tr>
      <w:tr w:rsidR="00B64AB9"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ind w:left="181" w:right="221"/>
              <w:jc w:val="both"/>
              <w:rPr>
                <w:szCs w:val="20"/>
              </w:rPr>
            </w:pPr>
            <w:r w:rsidRPr="00433A86">
              <w:rPr>
                <w:szCs w:val="20"/>
              </w:rPr>
              <w:t>Întreprinderi mici (inclusiv microîntreprinderi) şi mijlocii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spacing w:before="60" w:after="60"/>
              <w:ind w:left="142" w:right="142"/>
              <w:jc w:val="both"/>
              <w:rPr>
                <w:szCs w:val="20"/>
              </w:rPr>
            </w:pPr>
            <w:r w:rsidRPr="00433A86">
              <w:rPr>
                <w:szCs w:val="20"/>
              </w:rPr>
              <w:t xml:space="preserve">Întreprinderi care îndeplinesc cumulativ următoarele condiţii: </w:t>
            </w:r>
          </w:p>
          <w:p w:rsidR="00B64AB9" w:rsidRPr="00433A86" w:rsidRDefault="00B64AB9" w:rsidP="00DE7318">
            <w:pPr>
              <w:pStyle w:val="bullet1"/>
              <w:jc w:val="both"/>
              <w:rPr>
                <w:szCs w:val="20"/>
              </w:rPr>
            </w:pPr>
            <w:r w:rsidRPr="00433A86">
              <w:rPr>
                <w:szCs w:val="20"/>
              </w:rPr>
              <w:t>au un număr mediu anual de salariaţi mai mic de 250;</w:t>
            </w:r>
          </w:p>
          <w:p w:rsidR="00B64AB9" w:rsidRPr="00433A86" w:rsidRDefault="00B64AB9" w:rsidP="00DE7318">
            <w:pPr>
              <w:pStyle w:val="bullet1"/>
              <w:jc w:val="both"/>
              <w:rPr>
                <w:szCs w:val="20"/>
              </w:rPr>
            </w:pPr>
            <w:r w:rsidRPr="00433A86">
              <w:rPr>
                <w:szCs w:val="20"/>
              </w:rPr>
              <w:t xml:space="preserve">realizează o cifră de afaceri anuală netă de până la 50 milioane de euro, echivalent în lei, sau deţin active totale care nu depăşesc echivalentul în lei a 43 milioane de euro, conform ultimei situaţii financiare aprobate. </w:t>
            </w:r>
          </w:p>
          <w:p w:rsidR="00B64AB9" w:rsidRPr="00433A86" w:rsidRDefault="00B64AB9" w:rsidP="00B64AB9">
            <w:pPr>
              <w:spacing w:before="60" w:after="60"/>
              <w:ind w:left="142" w:right="142"/>
              <w:jc w:val="both"/>
              <w:rPr>
                <w:szCs w:val="20"/>
              </w:rPr>
            </w:pPr>
            <w:r w:rsidRPr="00433A86">
              <w:rPr>
                <w:szCs w:val="20"/>
              </w:rPr>
              <w:t>(Legea nr. 175 din 2006</w:t>
            </w:r>
            <w:r w:rsidRPr="00433A86">
              <w:rPr>
                <w:rStyle w:val="FootnoteReference"/>
                <w:szCs w:val="20"/>
                <w:vertAlign w:val="baseline"/>
              </w:rPr>
              <w:footnoteReference w:id="8"/>
            </w:r>
            <w:r w:rsidRPr="00433A86">
              <w:rPr>
                <w:szCs w:val="20"/>
              </w:rPr>
              <w:t xml:space="preserve"> privind aprobarea Ordonanţei Guvernului nr. 27/2006 pentru modificarea şi completarea Legii nr. 346/2004 privind stimularea înfiinţării şi dezvoltării întreprinderilor mici şi mijlocii)</w:t>
            </w:r>
          </w:p>
        </w:tc>
      </w:tr>
      <w:tr w:rsidR="00B64AB9"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DE7318">
            <w:pPr>
              <w:ind w:left="181" w:right="221"/>
              <w:jc w:val="both"/>
              <w:rPr>
                <w:szCs w:val="20"/>
              </w:rPr>
            </w:pPr>
            <w:r w:rsidRPr="00433A86">
              <w:rPr>
                <w:szCs w:val="20"/>
              </w:rPr>
              <w:t>Începerea lucrărilor</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DE7318">
            <w:pPr>
              <w:spacing w:before="60" w:after="60"/>
              <w:ind w:left="142" w:right="142"/>
              <w:jc w:val="both"/>
              <w:rPr>
                <w:szCs w:val="20"/>
              </w:rPr>
            </w:pPr>
            <w:r w:rsidRPr="00433A86">
              <w:rPr>
                <w:szCs w:val="20"/>
              </w:rPr>
              <w:t xml:space="preserve">Fie data începerii lucrărilor de construcţie, fie data primei comenzi ferme de echipamente. </w:t>
            </w:r>
          </w:p>
          <w:p w:rsidR="00B64AB9" w:rsidRPr="00433A86" w:rsidRDefault="00B64AB9" w:rsidP="00DE7318">
            <w:pPr>
              <w:spacing w:before="60" w:after="60"/>
              <w:ind w:left="142" w:right="142"/>
              <w:jc w:val="both"/>
              <w:rPr>
                <w:szCs w:val="20"/>
              </w:rPr>
            </w:pPr>
            <w:r w:rsidRPr="00433A86">
              <w:rPr>
                <w:szCs w:val="20"/>
              </w:rPr>
              <w:t>(ref. eng. „start of work” din Regulamentul CE 1628/2006)</w:t>
            </w:r>
          </w:p>
        </w:tc>
      </w:tr>
      <w:tr w:rsidR="00B64AB9"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ind w:left="181" w:right="221"/>
              <w:jc w:val="both"/>
              <w:rPr>
                <w:szCs w:val="20"/>
              </w:rPr>
            </w:pPr>
            <w:r w:rsidRPr="00433A86">
              <w:rPr>
                <w:szCs w:val="20"/>
              </w:rPr>
              <w:t>Număr mediu de salariaţi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spacing w:before="60" w:after="60"/>
              <w:ind w:left="142" w:right="142"/>
              <w:jc w:val="both"/>
              <w:rPr>
                <w:szCs w:val="20"/>
              </w:rPr>
            </w:pPr>
            <w:r w:rsidRPr="00433A86">
              <w:rPr>
                <w:szCs w:val="20"/>
              </w:rPr>
              <w:t xml:space="preserve">Numărul mediu de salariaţi acoperă personalul permanent, cel cu jumătate de normă şi cel temporar şi include: salariaţii, persoanele care lucrează pentru întreprindere (fiind subordonate ei şi care sunt considerate ca angajaţi, prin legislaţia naţională), proprietarii-administratori, parteneri angajaţi în activităţile obişnuite ale întreprinderii şi care beneficiază de avantaje financiare din partea întreprinderii. </w:t>
            </w:r>
          </w:p>
          <w:p w:rsidR="00B64AB9" w:rsidRPr="00433A86" w:rsidRDefault="00B64AB9" w:rsidP="00B64AB9">
            <w:pPr>
              <w:spacing w:before="60" w:after="60"/>
              <w:ind w:left="142" w:right="142"/>
              <w:jc w:val="both"/>
              <w:rPr>
                <w:szCs w:val="20"/>
              </w:rPr>
            </w:pPr>
            <w:r w:rsidRPr="00433A86">
              <w:rPr>
                <w:szCs w:val="20"/>
              </w:rPr>
              <w:t xml:space="preserve">Ucenicii sau elevii şi studenţii implicaţi în programe de instruire profesională, având contracte de ucenicie sau de instruire profesională, precum şi salariaţii care se află în concediu de maternitate sau parental nu sunt incluşi în numărul de angajaţi. </w:t>
            </w:r>
          </w:p>
          <w:p w:rsidR="00B64AB9" w:rsidRPr="00433A86" w:rsidRDefault="00B64AB9" w:rsidP="00B64AB9">
            <w:pPr>
              <w:spacing w:before="60" w:after="60"/>
              <w:ind w:left="142" w:right="142"/>
              <w:jc w:val="both"/>
              <w:rPr>
                <w:szCs w:val="20"/>
              </w:rPr>
            </w:pPr>
            <w:r w:rsidRPr="00433A86">
              <w:rPr>
                <w:szCs w:val="20"/>
              </w:rPr>
              <w:t xml:space="preserve">Calculul numărului mediu de salariaţi se va face în conformitate cu Art. 5 din Legea 346/2004, cu modificările şi completările ulterioare. </w:t>
            </w:r>
          </w:p>
        </w:tc>
      </w:tr>
      <w:tr w:rsidR="00B64AB9" w:rsidRPr="00433A86" w:rsidTr="00AE1373">
        <w:tblPrEx>
          <w:tblLook w:val="0000" w:firstRow="0" w:lastRow="0" w:firstColumn="0" w:lastColumn="0" w:noHBand="0" w:noVBand="0"/>
        </w:tblPrEx>
        <w:trPr>
          <w:gridAfter w:val="1"/>
          <w:wAfter w:w="359" w:type="dxa"/>
          <w:cantSplit/>
          <w:trHeight w:val="255"/>
        </w:trPr>
        <w:tc>
          <w:tcPr>
            <w:tcW w:w="2231" w:type="dxa"/>
            <w:tcMar>
              <w:top w:w="16" w:type="dxa"/>
              <w:left w:w="16" w:type="dxa"/>
              <w:bottom w:w="0" w:type="dxa"/>
              <w:right w:w="16" w:type="dxa"/>
            </w:tcMar>
          </w:tcPr>
          <w:p w:rsidR="00B64AB9" w:rsidRPr="00433A86" w:rsidRDefault="00B64AB9" w:rsidP="00DE7318">
            <w:pPr>
              <w:ind w:left="109" w:right="164"/>
              <w:jc w:val="both"/>
              <w:rPr>
                <w:szCs w:val="20"/>
              </w:rPr>
            </w:pPr>
            <w:r w:rsidRPr="00433A86">
              <w:rPr>
                <w:szCs w:val="20"/>
              </w:rPr>
              <w:lastRenderedPageBreak/>
              <w:t>Profit din exploatare</w:t>
            </w:r>
          </w:p>
        </w:tc>
        <w:tc>
          <w:tcPr>
            <w:tcW w:w="6605" w:type="dxa"/>
            <w:tcMar>
              <w:top w:w="16" w:type="dxa"/>
              <w:left w:w="16" w:type="dxa"/>
              <w:bottom w:w="0" w:type="dxa"/>
              <w:right w:w="16" w:type="dxa"/>
            </w:tcMar>
          </w:tcPr>
          <w:p w:rsidR="00B64AB9" w:rsidRPr="00433A86" w:rsidRDefault="00B64AB9" w:rsidP="00DE7318">
            <w:pPr>
              <w:ind w:left="109" w:right="164"/>
              <w:jc w:val="both"/>
              <w:rPr>
                <w:szCs w:val="20"/>
              </w:rPr>
            </w:pPr>
            <w:r w:rsidRPr="00433A86">
              <w:rPr>
                <w:szCs w:val="20"/>
              </w:rPr>
              <w:t>Diferenţa dintre veniturile şi cheltuielile din exploatare.</w:t>
            </w:r>
          </w:p>
          <w:p w:rsidR="00B64AB9" w:rsidRPr="00433A86" w:rsidRDefault="00B64AB9" w:rsidP="00DE7318">
            <w:pPr>
              <w:ind w:left="109" w:right="164"/>
              <w:jc w:val="both"/>
              <w:rPr>
                <w:szCs w:val="20"/>
              </w:rPr>
            </w:pPr>
            <w:r w:rsidRPr="00433A86">
              <w:rPr>
                <w:szCs w:val="20"/>
              </w:rPr>
              <w:t>Veniturile din exploatare cuprind:</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venituri din vânzarea de produse şi mărfuri, executări de lucrări şi prestări de servicii;</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 xml:space="preserve">venituri din variaţia stocurilor, reprezentând variaţia în plus (creştere) sau în minus (reducere) dintre valoarea la cost de producţie efectiv a stocurilor de produse şi producţie în curs de la sfârşitul perioadei şi valoarea stocurilor iniţiale ale produselor şi producţiei în curs, neluând în calcul ajustările pentru depreciere reflectate; </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venituri din producţia de imobilizări, reprezentând costul lucrărilor şi cheltuielilor efectuate de entitate pentru ea însăşi, care se înregistrează ca active imobilizate corporale şi necorporale</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venituri din subvenţii de exploatare, reprezentând subvenţiile pentru acoperirea diferenţelor de preţ şi pentru acoperirea pierderilor, precum şi alte subvenţii de care beneficiază entitatea</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alte venituri din exploatarea curentă, cuprinzând veniturile din creanţe recuperate şi alte venituri din exploatare.</w:t>
            </w:r>
          </w:p>
          <w:p w:rsidR="00B64AB9" w:rsidRPr="00433A86" w:rsidRDefault="00B64AB9" w:rsidP="00DE7318">
            <w:pPr>
              <w:ind w:left="109" w:right="164"/>
              <w:jc w:val="both"/>
              <w:rPr>
                <w:szCs w:val="20"/>
              </w:rPr>
            </w:pPr>
            <w:r w:rsidRPr="00433A86">
              <w:rPr>
                <w:szCs w:val="20"/>
              </w:rPr>
              <w:t>Cheltuielile din exploatare cuprind:</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cheltuieli cu materiile prime şi materialele consumabile; costul de achiziţie al obiectelor de inventar consumate;</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costul de achiziţie al materialelor nestocate, trecute direct asupra cheltuielilor; contravaloarea energiei şi apei consumate; valoarea animalelor şi păsărilor; costul mărfurilor vândute şi al ambalajelor;</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cheltuieli cu lucrările şi serviciile executate de terţi, redevenţe, locaţii de gestiune si chirii; prime de asigurare; studii şi cercetări; cheltuieli cu alte servicii executate de terţi (colaboratori); comisioane si onorarii; cheltuieli de protocol, reclamă şi publicitate; transportul de bunuri şi personal; deplasări, detaşări şi transferări; cheltuieli poştale şi taxe de telecomunicaţii, servicii bancare şi altele;</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cheltuieli cu personalul (salariile, asigurările şi protecţia socială şi alte cheltuieli cu personalul, suportate de entitate);</w:t>
            </w:r>
          </w:p>
          <w:p w:rsidR="00B64AB9" w:rsidRPr="00433A86" w:rsidRDefault="00B64AB9" w:rsidP="00DE7318">
            <w:pPr>
              <w:numPr>
                <w:ilvl w:val="0"/>
                <w:numId w:val="5"/>
              </w:numPr>
              <w:tabs>
                <w:tab w:val="clear" w:pos="2160"/>
              </w:tabs>
              <w:spacing w:before="40" w:after="40"/>
              <w:ind w:left="501" w:hanging="399"/>
              <w:jc w:val="both"/>
              <w:rPr>
                <w:szCs w:val="20"/>
              </w:rPr>
            </w:pPr>
            <w:r w:rsidRPr="00433A86">
              <w:rPr>
                <w:szCs w:val="20"/>
              </w:rPr>
              <w:t>alte cheltuieli de exploatare (pierderi din creanţe şi debitori diverşi; despăgubiri, amenzi şi penalităţi; donaţii şi alte cheltuieli similare; cheltuieli privind activele cedate şi alte operaţii de capital etc.);</w:t>
            </w:r>
          </w:p>
          <w:p w:rsidR="00B64AB9" w:rsidRPr="00433A86" w:rsidRDefault="00B64AB9" w:rsidP="00DE7318">
            <w:pPr>
              <w:jc w:val="both"/>
              <w:rPr>
                <w:szCs w:val="20"/>
                <w:lang w:val="en-US"/>
              </w:rPr>
            </w:pPr>
            <w:r w:rsidRPr="00433A86">
              <w:rPr>
                <w:szCs w:val="20"/>
              </w:rPr>
              <w:t xml:space="preserve">Vezi Ordinul Ministrului finanţelor publice nr. </w:t>
            </w:r>
            <w:r w:rsidRPr="00433A86">
              <w:rPr>
                <w:szCs w:val="20"/>
                <w:lang w:val="en-US"/>
              </w:rPr>
              <w:t>3055/29.10.2009, publicat in Monitorul Oficial nr. 766 din 10/11/2009, intrat în vigoare la 01.01.2010 pentru aprobarea Reglementărilor contabile conforme cu directivele europene</w:t>
            </w:r>
          </w:p>
          <w:p w:rsidR="00B64AB9" w:rsidRPr="00433A86" w:rsidRDefault="00B64AB9" w:rsidP="00DE7318">
            <w:pPr>
              <w:ind w:left="109" w:right="164"/>
              <w:jc w:val="both"/>
              <w:rPr>
                <w:szCs w:val="20"/>
              </w:rPr>
            </w:pPr>
          </w:p>
        </w:tc>
      </w:tr>
      <w:tr w:rsidR="00EC3D5B"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Schemă de ajutor de stat</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Act în baza căruia, în condiţiile îndeplinirii anumitor criterii, pot fi acordate ajutoare individuale unor întreprinderi definite în cadrul actului, în mod general şi abstract, şi orice act în baza căruia un ajutor care nu este legat de un proiect specific poate fi acordat uneia sau mai multor întreprinderi pentru o perioadă nedefinită şi/ sau într-o valoare nedefinită.</w:t>
            </w:r>
          </w:p>
        </w:tc>
      </w:tr>
      <w:tr w:rsidR="00EC3D5B"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rFonts w:eastAsia="Arial Unicode MS"/>
                <w:szCs w:val="20"/>
              </w:rPr>
            </w:pPr>
            <w:r w:rsidRPr="00433A86">
              <w:rPr>
                <w:szCs w:val="20"/>
              </w:rPr>
              <w:t>Structuri de sprijinire a afacerilor</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rFonts w:eastAsia="Arial Unicode MS"/>
                <w:szCs w:val="20"/>
              </w:rPr>
            </w:pPr>
            <w:r w:rsidRPr="00433A86">
              <w:rPr>
                <w:szCs w:val="20"/>
              </w:rPr>
              <w:t xml:space="preserve">Structuri clar delimitate care asigură o serie de facilităţi (accesul la utilităţi publice etc) şi/sau spaţii pentru desfăşurarea unor activităţi economice de producţie, prestare servicii, având ca scop atragerea </w:t>
            </w:r>
            <w:r w:rsidRPr="00433A86">
              <w:rPr>
                <w:szCs w:val="20"/>
              </w:rPr>
              <w:lastRenderedPageBreak/>
              <w:t>investiţiilor, astfel încât să se valorifice potenţialul material şi uman al zonei în care sunt amplasate.</w:t>
            </w:r>
          </w:p>
        </w:tc>
      </w:tr>
      <w:tr w:rsidR="00AE1373" w:rsidRPr="00433A86" w:rsidTr="00AE1373">
        <w:tblPrEx>
          <w:tblLook w:val="0000" w:firstRow="0" w:lastRow="0" w:firstColumn="0" w:lastColumn="0" w:noHBand="0" w:noVBand="0"/>
        </w:tblPrEx>
        <w:trPr>
          <w:gridAfter w:val="1"/>
          <w:wAfter w:w="359" w:type="dxa"/>
          <w:cantSplit/>
          <w:trHeight w:val="765"/>
        </w:trPr>
        <w:tc>
          <w:tcPr>
            <w:tcW w:w="2231" w:type="dxa"/>
            <w:tcMar>
              <w:top w:w="16" w:type="dxa"/>
              <w:left w:w="16" w:type="dxa"/>
              <w:bottom w:w="0" w:type="dxa"/>
              <w:right w:w="16" w:type="dxa"/>
            </w:tcMar>
          </w:tcPr>
          <w:p w:rsidR="00AE1373" w:rsidRPr="00433A86" w:rsidRDefault="00AE1373" w:rsidP="00DE7318">
            <w:pPr>
              <w:ind w:left="180" w:right="219"/>
              <w:jc w:val="both"/>
              <w:rPr>
                <w:szCs w:val="20"/>
              </w:rPr>
            </w:pPr>
            <w:r w:rsidRPr="00433A86">
              <w:rPr>
                <w:szCs w:val="20"/>
              </w:rPr>
              <w:lastRenderedPageBreak/>
              <w:t>Societate cooperativă</w:t>
            </w:r>
          </w:p>
        </w:tc>
        <w:tc>
          <w:tcPr>
            <w:tcW w:w="6605" w:type="dxa"/>
            <w:tcMar>
              <w:top w:w="16" w:type="dxa"/>
              <w:left w:w="16" w:type="dxa"/>
              <w:bottom w:w="0" w:type="dxa"/>
              <w:right w:w="16" w:type="dxa"/>
            </w:tcMar>
          </w:tcPr>
          <w:p w:rsidR="00AE1373" w:rsidRPr="00433A86" w:rsidRDefault="00AE1373" w:rsidP="00DE7318">
            <w:pPr>
              <w:ind w:left="109" w:right="164"/>
              <w:jc w:val="both"/>
              <w:rPr>
                <w:szCs w:val="20"/>
              </w:rPr>
            </w:pPr>
            <w:r w:rsidRPr="00433A86">
              <w:rPr>
                <w:szCs w:val="20"/>
              </w:rPr>
              <w:t>Societate constituită în baza Legii 1/2005 privind organizarea şi funcţionarea cooperaţiei, cu modificările şi completările ulterioare</w:t>
            </w:r>
          </w:p>
        </w:tc>
      </w:tr>
      <w:tr w:rsidR="00AE1373" w:rsidRPr="00433A86"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tcPr>
          <w:p w:rsidR="00AE1373" w:rsidRPr="00433A86" w:rsidRDefault="00AE1373" w:rsidP="00B856FB">
            <w:pPr>
              <w:ind w:left="181" w:right="221"/>
              <w:jc w:val="both"/>
              <w:rPr>
                <w:szCs w:val="20"/>
              </w:rPr>
            </w:pP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tcPr>
          <w:p w:rsidR="00AE1373" w:rsidRPr="00433A86" w:rsidRDefault="00AE1373" w:rsidP="00B856FB">
            <w:pPr>
              <w:spacing w:before="60" w:after="60"/>
              <w:ind w:left="142" w:right="142"/>
              <w:jc w:val="both"/>
              <w:rPr>
                <w:szCs w:val="20"/>
              </w:rPr>
            </w:pPr>
          </w:p>
        </w:tc>
      </w:tr>
    </w:tbl>
    <w:p w:rsidR="00EC3D5B" w:rsidRPr="00433A86" w:rsidRDefault="00EC3D5B" w:rsidP="00B856FB">
      <w:pPr>
        <w:jc w:val="both"/>
        <w:rPr>
          <w:szCs w:val="20"/>
        </w:rPr>
      </w:pPr>
    </w:p>
    <w:p w:rsidR="00EC3D5B" w:rsidRPr="00433A86" w:rsidRDefault="00EC3D5B" w:rsidP="00B856FB">
      <w:pPr>
        <w:jc w:val="both"/>
        <w:rPr>
          <w:b/>
          <w:bCs/>
          <w:szCs w:val="20"/>
        </w:rPr>
      </w:pPr>
    </w:p>
    <w:p w:rsidR="00EC3D5B" w:rsidRPr="00433A86" w:rsidRDefault="00EC3D5B" w:rsidP="00B856FB">
      <w:pPr>
        <w:jc w:val="both"/>
        <w:rPr>
          <w:b/>
          <w:bCs/>
          <w:szCs w:val="20"/>
        </w:rPr>
      </w:pPr>
      <w:r w:rsidRPr="00433A86">
        <w:rPr>
          <w:b/>
          <w:bCs/>
          <w:szCs w:val="20"/>
        </w:rPr>
        <w:t>Mediu şi dezvoltare durabilă</w:t>
      </w:r>
    </w:p>
    <w:p w:rsidR="00EC3D5B" w:rsidRPr="00433A86" w:rsidRDefault="00EC3D5B" w:rsidP="00B856FB">
      <w:pPr>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Aviz NATURA 2000</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 xml:space="preserve">Act tehnico-juridic emis de autoritatea publică responsabilă pentru protecţia mediului, care confirmă integrarea aspectelor privind protecţia habitatelor naturale şi a speciilor de floră şi faună sălbatică în planul sau programul supus adoptării (Art. 52, alin.4 din Ordonanţa de Urgenţă nr. 195/2005,cu modificările şi completările ulterioare). </w:t>
            </w:r>
          </w:p>
          <w:p w:rsidR="00EC3D5B" w:rsidRPr="00433A86" w:rsidRDefault="00EC3D5B" w:rsidP="00B856FB">
            <w:pPr>
              <w:spacing w:before="60" w:after="60"/>
              <w:ind w:left="142" w:right="142"/>
              <w:jc w:val="both"/>
              <w:rPr>
                <w:szCs w:val="20"/>
              </w:rPr>
            </w:pPr>
            <w:r w:rsidRPr="00433A86">
              <w:rPr>
                <w:b/>
                <w:bCs/>
                <w:szCs w:val="20"/>
              </w:rPr>
              <w:t>Pentru orice proiect finanţat din fonduri comunitare este necesară obţinerea avizului Natura 2000</w:t>
            </w:r>
            <w:r w:rsidRPr="00433A86">
              <w:rPr>
                <w:szCs w:val="20"/>
              </w:rPr>
              <w:t xml:space="preserve"> (Art.52, alin.4 din Ordonanţa de Urgenţă nr. 195/2005, cu modificările şi completările ulterioare).</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Creşterea eficienţei energetice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13" w:right="113"/>
              <w:rPr>
                <w:szCs w:val="20"/>
              </w:rPr>
            </w:pPr>
            <w:r w:rsidRPr="00433A86">
              <w:rPr>
                <w:szCs w:val="20"/>
              </w:rPr>
              <w:t xml:space="preserve">Reprezintă îmbunătăţirea eficienţei utilizării energiei prin schimbări tehnologice, de comportament şi/sau economice. Măsurile de creştere a eficienţei sunt toate acele acţiuni care, în mod normal, conduc la o creştere a eficienţei energetice ce poate fi verificată, măsurată sau estimată. </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Dezvoltarea durabilă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umbers"/>
              <w:tabs>
                <w:tab w:val="clear" w:pos="360"/>
                <w:tab w:val="left" w:pos="708"/>
              </w:tabs>
              <w:spacing w:before="60" w:after="60"/>
              <w:ind w:left="113" w:right="113"/>
              <w:jc w:val="both"/>
              <w:rPr>
                <w:rFonts w:ascii="Trebuchet MS" w:hAnsi="Trebuchet MS"/>
                <w:sz w:val="20"/>
              </w:rPr>
            </w:pPr>
            <w:r w:rsidRPr="00433A86">
              <w:rPr>
                <w:rFonts w:ascii="Trebuchet MS" w:hAnsi="Trebuchet MS"/>
                <w:sz w:val="20"/>
              </w:rPr>
              <w:t xml:space="preserve">Reprezintă dezvoltarea care corespunde necesităţilor prezentului, fără a compromite posibilitatea generaţiilor viitoare de a-şi satisface propriile necesităţi. </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widowControl w:val="0"/>
              <w:ind w:left="181" w:right="221"/>
              <w:jc w:val="both"/>
              <w:rPr>
                <w:szCs w:val="20"/>
              </w:rPr>
            </w:pPr>
            <w:r w:rsidRPr="00433A86">
              <w:rPr>
                <w:szCs w:val="20"/>
              </w:rPr>
              <w:t>NATURA 2000, Obiectiv de tip NATURA 2000</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widowControl w:val="0"/>
              <w:spacing w:before="60" w:after="60"/>
              <w:ind w:left="142" w:right="142"/>
              <w:jc w:val="both"/>
              <w:rPr>
                <w:szCs w:val="20"/>
              </w:rPr>
            </w:pPr>
            <w:r w:rsidRPr="00433A86">
              <w:rPr>
                <w:szCs w:val="20"/>
              </w:rPr>
              <w:t>Conform art.14, alineatele (1) şi (2) din Ordonanţa de Urgenţă a Guvernului nr. 236/2000</w:t>
            </w:r>
            <w:r w:rsidRPr="00433A86">
              <w:rPr>
                <w:rStyle w:val="FootnoteReference"/>
                <w:szCs w:val="20"/>
              </w:rPr>
              <w:footnoteReference w:id="9"/>
            </w:r>
            <w:r w:rsidRPr="00433A86">
              <w:rPr>
                <w:szCs w:val="20"/>
              </w:rPr>
              <w:t xml:space="preserve"> privind regimul ariilor naturale protejate, conservarea habitatelor naturale, a florei şi faunei sălbatice, ariile naturale protejate (inclusiv ariile speciale de conservare şi ariile de protecţie specială avifaunistică) sunt evidenţiate în mod obligatoriu în planurile naţionale, zonale şi locale de amenajare a teritoriului şi de urbanism, în perimetrul şi în vecinătatea acestora fiind interzisă orice lucrare sau activitate susceptibilă să genereze un impact negativ asupra acestora.</w:t>
            </w:r>
          </w:p>
          <w:p w:rsidR="00EC3D5B" w:rsidRPr="00433A86" w:rsidRDefault="00EC3D5B" w:rsidP="00B856FB">
            <w:pPr>
              <w:widowControl w:val="0"/>
              <w:spacing w:before="60" w:after="60"/>
              <w:ind w:left="142" w:right="142"/>
              <w:jc w:val="both"/>
              <w:rPr>
                <w:szCs w:val="20"/>
              </w:rPr>
            </w:pPr>
            <w:r w:rsidRPr="00433A86">
              <w:rPr>
                <w:szCs w:val="20"/>
              </w:rPr>
              <w:t>Alte norme legale în vigoare:</w:t>
            </w:r>
          </w:p>
          <w:p w:rsidR="00EC3D5B" w:rsidRPr="00433A86" w:rsidRDefault="00EC3D5B" w:rsidP="00B856FB">
            <w:pPr>
              <w:widowControl w:val="0"/>
              <w:numPr>
                <w:ilvl w:val="0"/>
                <w:numId w:val="9"/>
              </w:numPr>
              <w:spacing w:before="60" w:after="60"/>
              <w:ind w:right="142"/>
              <w:jc w:val="both"/>
              <w:rPr>
                <w:szCs w:val="20"/>
              </w:rPr>
            </w:pPr>
            <w:r w:rsidRPr="00433A86">
              <w:rPr>
                <w:szCs w:val="20"/>
              </w:rPr>
              <w:t>Ordinul ministrului agriculturii, pădurilor, apelor şi mediului, nr. 552/2003</w:t>
            </w:r>
            <w:r w:rsidRPr="00433A86">
              <w:rPr>
                <w:rStyle w:val="FootnoteReference"/>
                <w:szCs w:val="20"/>
              </w:rPr>
              <w:footnoteReference w:id="10"/>
            </w:r>
            <w:r w:rsidRPr="00433A86">
              <w:rPr>
                <w:szCs w:val="20"/>
              </w:rPr>
              <w:t xml:space="preserve"> privind aprobarea zonării interioare a parcurilor naţionale şi a parcurilor naturale, din punct de vedere al necesităţii de conservare a diversităţii biologice</w:t>
            </w:r>
          </w:p>
          <w:p w:rsidR="00EC3D5B" w:rsidRPr="00433A86" w:rsidRDefault="00EC3D5B" w:rsidP="00B856FB">
            <w:pPr>
              <w:widowControl w:val="0"/>
              <w:numPr>
                <w:ilvl w:val="0"/>
                <w:numId w:val="9"/>
              </w:numPr>
              <w:spacing w:before="60" w:after="60"/>
              <w:ind w:right="142"/>
              <w:jc w:val="both"/>
              <w:rPr>
                <w:szCs w:val="20"/>
              </w:rPr>
            </w:pPr>
            <w:r w:rsidRPr="00433A86">
              <w:rPr>
                <w:szCs w:val="20"/>
              </w:rPr>
              <w:t>Legea nr. 462/2001</w:t>
            </w:r>
            <w:r w:rsidRPr="00433A86">
              <w:rPr>
                <w:rStyle w:val="FootnoteReference"/>
                <w:szCs w:val="20"/>
              </w:rPr>
              <w:footnoteReference w:id="11"/>
            </w:r>
            <w:r w:rsidRPr="00433A86">
              <w:rPr>
                <w:szCs w:val="20"/>
              </w:rPr>
              <w:t xml:space="preserve"> pentru aprobarea Ordonanţei de Urgenţă a Guvernului nr. 236/2000 privind regimul ariilor naturale protejate, conservarea habitatelor naturale şi a speciilor de floră şi faună sălbatică</w:t>
            </w:r>
          </w:p>
          <w:p w:rsidR="00EC3D5B" w:rsidRPr="00433A86" w:rsidRDefault="00EC3D5B" w:rsidP="00B856FB">
            <w:pPr>
              <w:widowControl w:val="0"/>
              <w:numPr>
                <w:ilvl w:val="0"/>
                <w:numId w:val="9"/>
              </w:numPr>
              <w:spacing w:before="60" w:after="60"/>
              <w:ind w:right="142"/>
              <w:jc w:val="both"/>
              <w:rPr>
                <w:szCs w:val="20"/>
              </w:rPr>
            </w:pPr>
            <w:r w:rsidRPr="00433A86">
              <w:rPr>
                <w:szCs w:val="20"/>
              </w:rPr>
              <w:t>Directiva nr. 92/43/EEC</w:t>
            </w:r>
            <w:r w:rsidRPr="00433A86">
              <w:rPr>
                <w:rStyle w:val="FootnoteReference"/>
                <w:szCs w:val="20"/>
              </w:rPr>
              <w:footnoteReference w:id="12"/>
            </w:r>
            <w:r w:rsidRPr="00433A86">
              <w:rPr>
                <w:szCs w:val="20"/>
              </w:rPr>
              <w:t xml:space="preserve"> privind conservarea habitatelor naturale, a </w:t>
            </w:r>
            <w:r w:rsidRPr="00433A86">
              <w:rPr>
                <w:szCs w:val="20"/>
              </w:rPr>
              <w:lastRenderedPageBreak/>
              <w:t xml:space="preserve">florei şi faunei sălbatice </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rFonts w:cs="Arial"/>
                <w:szCs w:val="20"/>
              </w:rPr>
            </w:pPr>
            <w:r w:rsidRPr="00433A86">
              <w:rPr>
                <w:rFonts w:cs="Arial"/>
                <w:szCs w:val="20"/>
              </w:rPr>
              <w:lastRenderedPageBreak/>
              <w:t>Spaţii verzi</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CommentText"/>
              <w:spacing w:before="60" w:after="60"/>
              <w:ind w:left="142" w:right="142"/>
              <w:jc w:val="both"/>
              <w:rPr>
                <w:rFonts w:cs="Arial"/>
              </w:rPr>
            </w:pPr>
            <w:r w:rsidRPr="00433A86">
              <w:rPr>
                <w:rFonts w:cs="Arial"/>
              </w:rPr>
              <w:t>Conform prevederilor art.2 şi 3 din Legea nr.24/2007</w:t>
            </w:r>
            <w:r w:rsidRPr="00433A86">
              <w:rPr>
                <w:rStyle w:val="FootnoteReference"/>
                <w:rFonts w:cs="Arial"/>
              </w:rPr>
              <w:footnoteReference w:id="13"/>
            </w:r>
            <w:r w:rsidRPr="00433A86">
              <w:rPr>
                <w:rFonts w:cs="Arial"/>
              </w:rPr>
              <w:t>, spaţiile verzi reprezintă zone verzi în cadrul oraşelor şi municipiilor, definite ca o reţea mozaicată sau un sistem de ecosisteme seminaturale, al căror specific este determinat de vegetaţie (lemnoasă, arborescentă, arbustivă, floricolă şi erbacee). Spaţiile verzi se compun din următoarele tipuri de terenuri din zonele urbane: parcuri, scuaruri, aliniamente plantate în lungul bulevardelor şi străzilor, terenuri libere neproductive din intravilan: mlaştini, stâncării, pante, terenuri afectate de alunecări, sărături care pot fi amenajate cu plantaţii.</w:t>
            </w:r>
          </w:p>
        </w:tc>
      </w:tr>
    </w:tbl>
    <w:p w:rsidR="00EC3D5B" w:rsidRPr="00433A86" w:rsidRDefault="00EC3D5B" w:rsidP="00B856FB">
      <w:pPr>
        <w:jc w:val="both"/>
        <w:rPr>
          <w:szCs w:val="20"/>
        </w:rPr>
      </w:pPr>
    </w:p>
    <w:p w:rsidR="00EC3D5B" w:rsidRPr="00433A86" w:rsidRDefault="00EC3D5B" w:rsidP="00B856FB">
      <w:pPr>
        <w:jc w:val="both"/>
        <w:rPr>
          <w:szCs w:val="20"/>
        </w:rPr>
      </w:pPr>
    </w:p>
    <w:p w:rsidR="00EC3D5B" w:rsidRPr="00433A86" w:rsidRDefault="00EC3D5B" w:rsidP="00B856FB">
      <w:pPr>
        <w:jc w:val="both"/>
        <w:rPr>
          <w:b/>
          <w:bCs/>
          <w:szCs w:val="20"/>
        </w:rPr>
      </w:pPr>
      <w:r w:rsidRPr="00433A86">
        <w:rPr>
          <w:b/>
          <w:bCs/>
          <w:szCs w:val="20"/>
        </w:rPr>
        <w:t>Lucrări, construcţii</w:t>
      </w:r>
    </w:p>
    <w:p w:rsidR="00EC3D5B" w:rsidRPr="00433A86" w:rsidRDefault="00EC3D5B" w:rsidP="00B856FB">
      <w:pPr>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rFonts w:eastAsia="Arial Unicode MS" w:cs="Arial"/>
                <w:szCs w:val="20"/>
              </w:rPr>
            </w:pPr>
            <w:r w:rsidRPr="00433A86">
              <w:rPr>
                <w:rFonts w:cs="Arial"/>
                <w:szCs w:val="20"/>
              </w:rPr>
              <w:t>Construcţii / lucrări de construcţii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rFonts w:eastAsia="Arial Unicode MS"/>
                <w:szCs w:val="20"/>
              </w:rPr>
            </w:pPr>
            <w:r w:rsidRPr="00433A86">
              <w:rPr>
                <w:szCs w:val="20"/>
              </w:rPr>
              <w:t>Lucrările de construcţii sunt operaţiunile specifice prin care se realizează (edifică) construcţii de orice fel sau se desfiinţează construcţii şi/sau amenajări asimilabile construcţiilor (Ordinul ministrului transporturilor, construcţiilor şi turismului nr. 1430/2005</w:t>
            </w:r>
            <w:r w:rsidRPr="00433A86">
              <w:rPr>
                <w:rStyle w:val="FootnoteReference"/>
                <w:szCs w:val="20"/>
              </w:rPr>
              <w:footnoteReference w:id="14"/>
            </w:r>
            <w:r w:rsidRPr="00433A86">
              <w:rPr>
                <w:szCs w:val="20"/>
              </w:rPr>
              <w:t xml:space="preserve"> pentru aprobarea Normelor metodologice de aplicare a Legii nr. 50/1991 privind autorizarea executării lucrărilor de construcţii, cu modificările şi completările ulterioare).</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Deviz general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umbers"/>
              <w:tabs>
                <w:tab w:val="clear" w:pos="360"/>
                <w:tab w:val="left" w:pos="708"/>
              </w:tabs>
              <w:spacing w:before="60" w:after="60"/>
              <w:ind w:left="113" w:right="113"/>
              <w:jc w:val="both"/>
              <w:rPr>
                <w:rFonts w:ascii="Trebuchet MS" w:hAnsi="Trebuchet MS"/>
                <w:sz w:val="20"/>
              </w:rPr>
            </w:pPr>
            <w:r w:rsidRPr="00433A86">
              <w:rPr>
                <w:rFonts w:ascii="Trebuchet MS" w:hAnsi="Trebuchet MS"/>
                <w:sz w:val="20"/>
              </w:rPr>
              <w:t xml:space="preserve">Conform art.1 din Anexa nr.4  a Hotărârii Guvernului nr.28/2008, reprezintă </w:t>
            </w:r>
            <w:r w:rsidRPr="00433A86">
              <w:rPr>
                <w:rStyle w:val="rvts9"/>
                <w:rFonts w:ascii="Trebuchet MS" w:hAnsi="Trebuchet MS" w:cs="Tahoma"/>
                <w:sz w:val="20"/>
              </w:rPr>
              <w:t>documentaţia economică prin care se stabileşte valoarea totală estimativă a cheltuielilor necesare realizării obiectivelor de investiţii sau a cheltuielilor asimilate investiţiilor, necesare realizării lucrărilor de intervenţii la construcţii şi instalaţii, în faza de proiectare studiu de fezabilitate/documentaţie de avizare a lucrărilor de intervenţii. Devizul general se structurează pe capitole şi subcapitole de cheltuieli, iar în cadrul acestora se înscriu obiectele de investiţie sau natura cheltuielilor.</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Drept de execuţie a lucrărilor de construcţii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Style w:val="rvts5"/>
                <w:rFonts w:cs="Tahoma"/>
                <w:szCs w:val="20"/>
              </w:rPr>
            </w:pPr>
            <w:r w:rsidRPr="00433A86">
              <w:rPr>
                <w:rStyle w:val="rvts5"/>
                <w:rFonts w:cs="Tahoma"/>
                <w:szCs w:val="20"/>
              </w:rPr>
              <w:t>Dreptul real sau, după caz, dreptul de creanţă privind imobilul, care conferă titularului dreptul de a obţine, potrivit legii, din partea autorităţii competente, autorizaţia de construire sau de desfiinţare. Dovada dreptului asupra imobilului se face prin actul, denumit titlu, prin care se atestă dreptul de proprietate (precum contractul de vânzare-cumpărare, de schimb, de donaţie, certificatul de moştenitor, actul administrativ de restituire, hotărâre judecătorească) sau printr-un contract de concesiune, contract de cesiune, contract de comodat. Emiterea autorizaţiei de construire în baza unui contract de închiriere se poate face numai pentru construcţii cu caracter provizoriu şi cu acordul expres al proprietarului de drept.</w:t>
            </w:r>
          </w:p>
          <w:p w:rsidR="00EC3D5B" w:rsidRPr="00433A86" w:rsidRDefault="00EC3D5B" w:rsidP="00B856FB">
            <w:pPr>
              <w:pStyle w:val="Normal1"/>
              <w:ind w:left="142" w:right="142"/>
              <w:rPr>
                <w:rFonts w:cs="Arial"/>
                <w:szCs w:val="20"/>
              </w:rPr>
            </w:pPr>
            <w:r w:rsidRPr="00433A86">
              <w:rPr>
                <w:rStyle w:val="rvts5"/>
                <w:rFonts w:cs="Tahoma"/>
                <w:szCs w:val="20"/>
              </w:rPr>
              <w:t>(Anexa 2 la Legea nr.50/1991 privind autorizarea executării lucrărilor de construcţii, cu modificările şi completările ulterioare)</w:t>
            </w:r>
          </w:p>
        </w:tc>
      </w:tr>
      <w:tr w:rsidR="00B64AB9"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pStyle w:val="Normal1"/>
              <w:ind w:left="181" w:right="221"/>
              <w:rPr>
                <w:rFonts w:cs="Arial"/>
                <w:szCs w:val="20"/>
              </w:rPr>
            </w:pPr>
            <w:r w:rsidRPr="00433A86">
              <w:rPr>
                <w:rFonts w:cs="Arial"/>
                <w:szCs w:val="20"/>
              </w:rPr>
              <w:t>Concesiune, contract de concesiune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433A86" w:rsidRDefault="00B64AB9" w:rsidP="00B64AB9">
            <w:pPr>
              <w:pStyle w:val="Normal1"/>
              <w:ind w:left="142" w:right="142"/>
              <w:rPr>
                <w:rFonts w:cs="Tahoma"/>
                <w:szCs w:val="20"/>
              </w:rPr>
            </w:pPr>
            <w:r w:rsidRPr="00433A86">
              <w:rPr>
                <w:rFonts w:cs="Tahoma"/>
                <w:szCs w:val="20"/>
              </w:rPr>
              <w:t>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p>
          <w:p w:rsidR="00B64AB9" w:rsidRPr="00433A86" w:rsidRDefault="00B64AB9" w:rsidP="00B64AB9">
            <w:pPr>
              <w:pStyle w:val="Normal1"/>
              <w:ind w:left="142" w:right="142"/>
              <w:rPr>
                <w:rFonts w:cs="Tahoma"/>
                <w:szCs w:val="20"/>
              </w:rPr>
            </w:pPr>
            <w:r w:rsidRPr="00433A86">
              <w:rPr>
                <w:rFonts w:cs="Tahoma"/>
                <w:szCs w:val="20"/>
              </w:rPr>
              <w:t xml:space="preserve">Pot avea calitatea de concedent, în numele statului, judeţului, oraşului </w:t>
            </w:r>
            <w:r w:rsidRPr="00433A86">
              <w:rPr>
                <w:rFonts w:cs="Tahoma"/>
                <w:szCs w:val="20"/>
              </w:rPr>
              <w:lastRenderedPageBreak/>
              <w:t>sau comunei: ministerele sau alte organe de specialitate ale administraţiei publice centrale, pentru bunurile proprietate publică a statului; consiliile judeţene, consiliile locale, Consiliul General al Municipiului Bucureşti sau instituţiile publice de interes local, pentru bunurile proprietate publică a judeţului, oraşului sau comunei.</w:t>
            </w:r>
          </w:p>
          <w:p w:rsidR="00B64AB9" w:rsidRPr="00433A86" w:rsidRDefault="00B64AB9" w:rsidP="00B64AB9">
            <w:pPr>
              <w:pStyle w:val="Normal1"/>
              <w:ind w:left="142" w:right="142"/>
              <w:rPr>
                <w:rFonts w:cs="Tahoma"/>
                <w:szCs w:val="20"/>
              </w:rPr>
            </w:pPr>
            <w:r w:rsidRPr="00433A86">
              <w:rPr>
                <w:rFonts w:cs="Tahoma"/>
                <w:szCs w:val="20"/>
              </w:rPr>
              <w:t>Vezi Ordonanţa de Urgenţă a Guvernului nr. 54/2006 privind privind regimul contractelor de concesiune de bunuri proprietate publică</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lastRenderedPageBreak/>
              <w:t>Documentaţie de avizare pentru lucrări de intervenţii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Documentaţie tehnico-economică similară studiului de fezabilitate, elaborată pe baza concluziilor raportului de expertiză tehnică şi, după caz, a raportului de audit energetic, pentru aprobarea indicatorilor tehnico-economici aferenţi lucrărilor de intervenţii la construcţii existente (Art. 3, Hotărârea Guvernului nr.28/2008</w:t>
            </w:r>
            <w:r w:rsidRPr="00433A86">
              <w:rPr>
                <w:rStyle w:val="FootnoteReference"/>
                <w:rFonts w:cs="Arial"/>
                <w:szCs w:val="20"/>
              </w:rPr>
              <w:footnoteReference w:id="15"/>
            </w:r>
            <w:r w:rsidRPr="00433A86">
              <w:rPr>
                <w:rFonts w:cs="Arial"/>
                <w:szCs w:val="20"/>
              </w:rPr>
              <w:t xml:space="preserve"> pentru aprobarea conţinutului cadru al documentaţiei tehnico-economice aferente investiţiilor publice, precum şi a structurii şi metodologiei de elaborare a devizului general pentru obiective de investiţii şi lucrări de intervenţii)</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rFonts w:eastAsia="Arial Unicode MS"/>
                <w:szCs w:val="20"/>
              </w:rPr>
            </w:pPr>
            <w:r w:rsidRPr="00433A86">
              <w:rPr>
                <w:szCs w:val="20"/>
              </w:rPr>
              <w:t>Infrastructură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rFonts w:eastAsia="Arial Unicode MS"/>
                <w:szCs w:val="20"/>
              </w:rPr>
            </w:pPr>
            <w:r w:rsidRPr="00433A86">
              <w:rPr>
                <w:szCs w:val="20"/>
              </w:rPr>
              <w:t>În sensul prezentului ghid: clădiri, anexe ale acestora, construcţii, drumuri de acces, căi rutiere/ feroviare interioare, reţea de utilităţi publice, reţea de comunicaţii, exclusiv terenul pe care acestea se află.</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Instalaţii aferente construcţiilor</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Style w:val="rvts5"/>
                <w:rFonts w:cs="Tahoma"/>
                <w:szCs w:val="20"/>
              </w:rPr>
            </w:pPr>
            <w:r w:rsidRPr="00433A86">
              <w:rPr>
                <w:rStyle w:val="rvts5"/>
                <w:rFonts w:cs="Tahoma"/>
                <w:szCs w:val="20"/>
              </w:rPr>
              <w:t>Totalitatea conductelor şi echipamentelor care asigură utilităţile necesare funcţionării construcţiilor, situate în interiorul limitei de proprietate, de la branşament/racord (inclusiv) la utilizatori, indiferent dacă acestea sunt sau nu încorporate în construcţie. Instalaţiile aferente construcţiilor se autorizează împreună cu acestea sau, după caz, separat.</w:t>
            </w:r>
          </w:p>
          <w:p w:rsidR="00EC3D5B" w:rsidRPr="00433A86" w:rsidRDefault="00EC3D5B" w:rsidP="00B856FB">
            <w:pPr>
              <w:pStyle w:val="Normal1"/>
              <w:ind w:left="142" w:right="142"/>
              <w:rPr>
                <w:rFonts w:cs="Arial"/>
                <w:szCs w:val="20"/>
              </w:rPr>
            </w:pPr>
            <w:r w:rsidRPr="00433A86">
              <w:rPr>
                <w:rStyle w:val="rvts5"/>
                <w:rFonts w:cs="Tahoma"/>
                <w:szCs w:val="20"/>
              </w:rPr>
              <w:t>(Anexa 2 la Legea nr.50/1991 privind autorizarea executării lucrărilor de construcţii, cu modificările şi completările ulterioare)</w:t>
            </w:r>
          </w:p>
        </w:tc>
      </w:tr>
      <w:tr w:rsidR="00B64AB9"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64AB9" w:rsidRPr="00433A86" w:rsidRDefault="00B64AB9" w:rsidP="00B856FB">
            <w:pPr>
              <w:pStyle w:val="Normal1"/>
              <w:spacing w:before="120" w:after="120"/>
              <w:ind w:left="181" w:right="221"/>
              <w:rPr>
                <w:rFonts w:cs="Arial"/>
                <w:szCs w:val="20"/>
              </w:rPr>
            </w:pPr>
            <w:r w:rsidRPr="00433A86">
              <w:rPr>
                <w:bCs/>
                <w:szCs w:val="20"/>
              </w:rPr>
              <w:t>„bloc de locuinte” (bloc)</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64AB9" w:rsidRPr="00433A86" w:rsidRDefault="00B64AB9" w:rsidP="00B64AB9">
            <w:pPr>
              <w:jc w:val="both"/>
              <w:rPr>
                <w:szCs w:val="20"/>
              </w:rPr>
            </w:pPr>
          </w:p>
          <w:p w:rsidR="00B64AB9" w:rsidRPr="00433A86" w:rsidRDefault="00B64AB9" w:rsidP="00B64AB9">
            <w:pPr>
              <w:pStyle w:val="Normal1"/>
              <w:ind w:left="142" w:right="142"/>
              <w:rPr>
                <w:rFonts w:cs="Arial"/>
                <w:szCs w:val="20"/>
              </w:rPr>
            </w:pPr>
            <w:r w:rsidRPr="00433A86">
              <w:rPr>
                <w:bCs/>
                <w:szCs w:val="20"/>
              </w:rPr>
              <w:t>va fi definit: cladire-bloc de locuinte-condominiu – proprietatea imobiliară formată din proprietăţi individuale definite, apartamente sau spaţii cu altă destinaţie decât aceea de locuinţe şi proprietatea comună indiviză. Dacă un bloc de locuinţe are mai multe scări sau tronsoane, având una sau mai multe Asociaţii de proprietari, toate acestea vor trebui sa facă parte dintr-un singur proiect.</w:t>
            </w:r>
            <w:r w:rsidRPr="00433A86">
              <w:rPr>
                <w:b/>
                <w:bCs/>
                <w:szCs w:val="20"/>
              </w:rPr>
              <w:t xml:space="preserve"> Astfel, nu se acceptă reabilitarea termică parţială a unui bloc format din mai multe scări sau tronsoane; se va proceda la reabilitarea tuturor scărilor/tronsoanelor componente, care vor forma un proiect pentru respectivul bloc în totalitatea sa, în vederea asigurării unei soluţii tehnice unitare pe întreaga construcţie, inclusiv din punct de vedere al aspectului şi cromaticii anvelopei blocului.</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Lucrări de intervenţii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Lucrări la construcţii existente, inclusiv instalaţiile aferente, asimilate obiectivelor de investiţii, care constau în: reparaţii capitale, transformări, modificări, modernizări, consolidări, reabilitări termice, precum şi lucrări de intervenţii pentru prevenirea sau înlăturarea efectelor produse de acţiuni accidentale şi calamităţi naturale, efectuate în scopul asigurării cerinţelor esenţiale de calitate şi funcţionale ale construcţiilor, potrivit destinaţiei lor (Art. 3 din Hotărârea Guvernului nr.28/2008 pentru aprobarea conţinutului cadru al documentaţiei tehnico-economice aferente investiţiilor publice, precum şi a structurii şi metodologiei de elaborare a devizului general pentru obiective de investiţii şi lucrări de intervenţii)</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 xml:space="preserve">Lucrări de </w:t>
            </w:r>
            <w:r w:rsidRPr="00433A86">
              <w:rPr>
                <w:rFonts w:cs="Arial"/>
                <w:szCs w:val="20"/>
              </w:rPr>
              <w:lastRenderedPageBreak/>
              <w:t>modernizare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lastRenderedPageBreak/>
              <w:t>Lucrări fizice exprimate cantitativ, calitativ şi valoric, pentru ridicarea nivelului performanţelor prevăzute iniţial.</w:t>
            </w:r>
            <w:r w:rsidRPr="00433A86">
              <w:rPr>
                <w:szCs w:val="20"/>
              </w:rPr>
              <w:t xml:space="preserve"> Lucrări de construcţii şi </w:t>
            </w:r>
            <w:r w:rsidRPr="00433A86">
              <w:rPr>
                <w:szCs w:val="20"/>
              </w:rPr>
              <w:lastRenderedPageBreak/>
              <w:t>instalaţii aferente construcţiilor existente precum şi lucrările de retehnologizare ce se realizează peste durata normală de funcţionare a unei construcţii, lucrări care, odată realizate, aduc construcţia respectivă la o nouă stare de exploatare.</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lastRenderedPageBreak/>
              <w:t>Lucrări de modernizare a străzilor/drumurilor</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Lucrări fizice exprimate cantitativ, calitativ şi valoric, pentru ridicarea nivelului performanţelor prevăzute iniţial la construirea drumului, constând în  amenajări complexe ale drumului existent prin sistematizarea elementelor geometrice şi aplicarea unei îmbrăcăminţi moderne în cadrul unui sistem rutier dimensionat conform reglementărilor tehnice în vigoare.</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Lucrări de extindere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szCs w:val="20"/>
              </w:rPr>
              <w:t>Totalitatea operaţiunilor efectuate în scopul creşterii suprafeţelor construite, realizate pe verticală şi/sau pe orizontală, în condiţiile menţinerii stării tehnice şi a destinaţiei infrastructurii ce face obiectul investiţiei.</w:t>
            </w:r>
            <w:r w:rsidRPr="00433A86">
              <w:rPr>
                <w:rFonts w:cs="Arial"/>
                <w:szCs w:val="20"/>
              </w:rPr>
              <w:t xml:space="preserve"> </w:t>
            </w:r>
          </w:p>
        </w:tc>
      </w:tr>
      <w:tr w:rsidR="00AE1373" w:rsidRPr="00433A86" w:rsidTr="00AE1373">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ind w:left="181" w:right="221"/>
              <w:jc w:val="both"/>
              <w:rPr>
                <w:szCs w:val="20"/>
              </w:rPr>
            </w:pPr>
            <w:r w:rsidRPr="00433A86">
              <w:rPr>
                <w:szCs w:val="20"/>
              </w:rPr>
              <w:t>Mediu urban</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spacing w:before="60" w:after="60"/>
              <w:ind w:left="142" w:right="142"/>
              <w:jc w:val="both"/>
              <w:rPr>
                <w:szCs w:val="20"/>
              </w:rPr>
            </w:pPr>
            <w:r w:rsidRPr="00433A86">
              <w:rPr>
                <w:szCs w:val="20"/>
              </w:rPr>
              <w:t>Localităţi de rang 0, I, II şi III (capitala, municipii, oraşe), conform Legii nr. 351/2001 privind aprobarea Planului de amenajare a teritoriului naţional</w:t>
            </w:r>
            <w:r w:rsidRPr="00433A86">
              <w:rPr>
                <w:rStyle w:val="FootnoteReference"/>
                <w:szCs w:val="20"/>
                <w:vertAlign w:val="baseline"/>
              </w:rPr>
              <w:footnoteReference w:id="16"/>
            </w:r>
            <w:r w:rsidRPr="00433A86">
              <w:rPr>
                <w:szCs w:val="20"/>
              </w:rPr>
              <w:t>, cu modificările şi completările ulterioare</w:t>
            </w:r>
          </w:p>
        </w:tc>
      </w:tr>
      <w:tr w:rsidR="00AE1373" w:rsidRPr="00433A86" w:rsidTr="00AE1373">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ind w:left="181" w:right="221"/>
              <w:jc w:val="both"/>
              <w:rPr>
                <w:szCs w:val="20"/>
              </w:rPr>
            </w:pPr>
            <w:r w:rsidRPr="00433A86">
              <w:rPr>
                <w:szCs w:val="20"/>
              </w:rPr>
              <w:t>Mediu rural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433A86" w:rsidRDefault="00AE1373" w:rsidP="00DE7318">
            <w:pPr>
              <w:spacing w:before="60" w:after="60"/>
              <w:ind w:left="142" w:right="142"/>
              <w:jc w:val="both"/>
              <w:rPr>
                <w:szCs w:val="20"/>
              </w:rPr>
            </w:pPr>
            <w:r w:rsidRPr="00433A86">
              <w:rPr>
                <w:szCs w:val="20"/>
              </w:rPr>
              <w:t>Localităţi de rang IV şi V (sate reşedinţă de comună, sate componente ale comunelor şi sate aparţinând municipiilor sau oraşelor), conform Legii nr. 351/2001 privind aprobarea Planului de amenajare a teritoriului naţional, cu modificările şi completările ulterioare</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Mobilier urban</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Style w:val="rvts5"/>
                <w:rFonts w:cs="Tahoma"/>
                <w:szCs w:val="20"/>
              </w:rPr>
            </w:pPr>
            <w:r w:rsidRPr="00433A86">
              <w:rPr>
                <w:rStyle w:val="rvts5"/>
                <w:rFonts w:cs="Tahoma"/>
                <w:szCs w:val="20"/>
              </w:rPr>
              <w:t>Elementele funcţionale şi/sau decorative amplasate în spaţiile publice care, prin alcătuire, aspect, amplasare, conferă personalitate aparte zonei sau localităţii. Prin natura lor piesele de mobilier urban sunt asimilate construcţiilor dacă amplasarea lor se face prin legare constructivă la sol (fundaţii platforme de beton, racorduri la utilităţi urbane, cu excepţia energiei electrice), necesitând emiterea autorizaţiei de construire. Fac parte din categoria mobilier urban: jardiniere, lampadare, bănci, bazine, pavaje decorative, pergole, cabine telefonice şi altele asemenea.</w:t>
            </w:r>
          </w:p>
          <w:p w:rsidR="00EC3D5B" w:rsidRPr="00433A86" w:rsidRDefault="00EC3D5B" w:rsidP="00B856FB">
            <w:pPr>
              <w:pStyle w:val="Normal1"/>
              <w:ind w:left="142" w:right="142"/>
              <w:rPr>
                <w:rFonts w:cs="Arial"/>
                <w:szCs w:val="20"/>
              </w:rPr>
            </w:pPr>
            <w:r w:rsidRPr="00433A86">
              <w:rPr>
                <w:rStyle w:val="rvts5"/>
                <w:rFonts w:cs="Tahoma"/>
                <w:szCs w:val="20"/>
              </w:rPr>
              <w:t>(Anexa 2 la Legea nr.50/1991 privind autorizarea executării lucrărilor de construcţii, cu modificările şi completările ulterioare)</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 xml:space="preserve">Străzi de categoria I-a </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Străzi magistrale, din localităţi urbane, care asigură preluarea fluxurilor majore ale oraşului pe direcţia drumului naţional ce traversează oraşul sau pe direcţia principală de legătură cu acest drum.</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 xml:space="preserve">Străzi de categoria a II-a </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Străzi de legătură, din localităţi urbane, care asigură circulaţia majoră între zonele funcţionale şi de locuit.</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 xml:space="preserve">Străzi de categoria a III-a </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Străzi colectoare, din localităţi urbane, care preiau fluxurile de trafic din zonele funcţionale şi le dirijează spre străzile de legătură sau magistrale.</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Străzi de categoria a IV-a</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rFonts w:cs="Arial"/>
                <w:szCs w:val="20"/>
              </w:rPr>
            </w:pPr>
            <w:r w:rsidRPr="00433A86">
              <w:rPr>
                <w:rFonts w:cs="Arial"/>
                <w:szCs w:val="20"/>
              </w:rPr>
              <w:t>Străzi de folosinţă locală, din localităţi urbane, care asigură accesul la locuinţe şi pentru servicii curente sau ocazionale, în zonele cu trafic foarte redus.</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rFonts w:eastAsia="Arial Unicode MS"/>
                <w:szCs w:val="20"/>
              </w:rPr>
            </w:pPr>
            <w:r w:rsidRPr="00433A86">
              <w:rPr>
                <w:szCs w:val="20"/>
              </w:rPr>
              <w:t>Utilităţi publice (servicii comunitare de utilităţi publice / infrastructura de utilităţi publice)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rFonts w:eastAsia="Arial Unicode MS"/>
                <w:szCs w:val="20"/>
              </w:rPr>
            </w:pPr>
            <w:r w:rsidRPr="00433A86">
              <w:rPr>
                <w:szCs w:val="20"/>
              </w:rPr>
              <w:t xml:space="preserve">Totalitatea activităţilor de utilitate şi interes public general, desfăşurate la nivelul comunelor, oraşelor, municipiilor sau judeţelor sub conducerea, coordonarea şi responsabilitatea autorităţilor administraţiei publice locale, în scopul satisfacerii cerinţelor comunităţilor locale, prin care se asigură următoarele utilităţi: alimentarea cu apă; canalizarea şi epurarea apelor uzate; colectarea, canalizarea şi evacuarea apelor </w:t>
            </w:r>
            <w:r w:rsidRPr="00433A86">
              <w:rPr>
                <w:szCs w:val="20"/>
              </w:rPr>
              <w:lastRenderedPageBreak/>
              <w:t>pluviale; producţia, transportul, distribuţia şi furnizarea de energie termică în sistem centralizat; salubrizarea localităţilor; iluminatul public; administrarea domeniului public şi privat al unităţilor administrativ - teritoriale, precum şi altele asemenea; transportul public local.</w:t>
            </w:r>
          </w:p>
        </w:tc>
      </w:tr>
      <w:tr w:rsidR="00EC3D5B" w:rsidRPr="00433A86" w:rsidTr="00B64AB9">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eastAsia="Arial Unicode MS" w:cs="Arial"/>
                <w:szCs w:val="20"/>
              </w:rPr>
            </w:pPr>
            <w:r w:rsidRPr="00433A86">
              <w:rPr>
                <w:rFonts w:cs="Arial"/>
                <w:szCs w:val="20"/>
              </w:rPr>
              <w:lastRenderedPageBreak/>
              <w:t xml:space="preserve">Zone de siguranţă </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eastAsia="Arial Unicode MS" w:cs="Arial"/>
                <w:szCs w:val="20"/>
              </w:rPr>
            </w:pPr>
            <w:r w:rsidRPr="00433A86">
              <w:rPr>
                <w:rFonts w:cs="Arial"/>
                <w:szCs w:val="20"/>
              </w:rPr>
              <w:t>Suprafeţele de teren situate de o parte şi de cealaltă a drumului, destinate exclusiv pentru semnalizarea rutieră, pentru plantaţie rutieră sau alte scopuri legate de întreţinerea şi exploatarea drumului, pentru siguranţa circulaţiei ori pentru protecţia proprietăţilor situate în vecinătatea drumului.</w:t>
            </w:r>
          </w:p>
        </w:tc>
      </w:tr>
    </w:tbl>
    <w:p w:rsidR="00EC3D5B" w:rsidRPr="00433A86" w:rsidRDefault="00EC3D5B" w:rsidP="00B856FB">
      <w:pPr>
        <w:jc w:val="both"/>
        <w:rPr>
          <w:szCs w:val="20"/>
        </w:rPr>
      </w:pPr>
    </w:p>
    <w:p w:rsidR="00EC3D5B" w:rsidRPr="00433A86" w:rsidRDefault="00EC3D5B" w:rsidP="00B856FB">
      <w:pPr>
        <w:jc w:val="both"/>
        <w:rPr>
          <w:b/>
          <w:bCs/>
          <w:szCs w:val="20"/>
        </w:rPr>
      </w:pPr>
    </w:p>
    <w:p w:rsidR="00EC3D5B" w:rsidRPr="00433A86" w:rsidRDefault="00EC3D5B" w:rsidP="00B856FB">
      <w:pPr>
        <w:jc w:val="both"/>
        <w:rPr>
          <w:b/>
          <w:bCs/>
          <w:szCs w:val="20"/>
        </w:rPr>
      </w:pPr>
      <w:r w:rsidRPr="00433A86">
        <w:rPr>
          <w:b/>
          <w:bCs/>
          <w:szCs w:val="20"/>
        </w:rPr>
        <w:t>Domeniul social</w:t>
      </w:r>
    </w:p>
    <w:p w:rsidR="00EC3D5B" w:rsidRPr="00433A86" w:rsidRDefault="00EC3D5B" w:rsidP="00B856FB">
      <w:pPr>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Style w:val="def"/>
                <w:rFonts w:cs="Arial"/>
                <w:szCs w:val="20"/>
              </w:rPr>
            </w:pPr>
            <w:r w:rsidRPr="00433A86">
              <w:rPr>
                <w:rFonts w:cs="Arial"/>
                <w:szCs w:val="20"/>
              </w:rPr>
              <w:t>Acreditarea furnizorului de servicii sociale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autoSpaceDE w:val="0"/>
              <w:autoSpaceDN w:val="0"/>
              <w:adjustRightInd w:val="0"/>
              <w:ind w:left="142" w:right="142"/>
              <w:rPr>
                <w:rStyle w:val="def"/>
                <w:rFonts w:cs="Arial"/>
                <w:szCs w:val="20"/>
              </w:rPr>
            </w:pPr>
            <w:r w:rsidRPr="00433A86">
              <w:rPr>
                <w:rFonts w:cs="Arial"/>
                <w:szCs w:val="20"/>
              </w:rPr>
              <w:t>Conform art. 5, lit. i) din Legea nr. 47/2006</w:t>
            </w:r>
            <w:r w:rsidRPr="00433A86">
              <w:rPr>
                <w:rStyle w:val="FootnoteReference"/>
                <w:rFonts w:cs="Arial"/>
                <w:szCs w:val="20"/>
              </w:rPr>
              <w:footnoteReference w:id="17"/>
            </w:r>
            <w:r w:rsidRPr="00433A86">
              <w:rPr>
                <w:rFonts w:cs="Arial"/>
                <w:szCs w:val="20"/>
              </w:rPr>
              <w:t xml:space="preserve"> privind sistemul naţional de asistenţă socială, acreditarea reprezintă procesul prin care furnizorul de servicii sociale îşi demonstrează propria capacitate funcţională, organizaţională şi administrativă în acordarea serviciilor sociale, cu condiţia respectării standardelor de calitate în vigoare, iar statul recunoaşte competenţa acestuia de a acorda servicii sociale</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Beneficiarii de servicii sociale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eastAsia="Arial Unicode MS" w:cs="Arial"/>
                <w:szCs w:val="20"/>
              </w:rPr>
            </w:pPr>
            <w:r w:rsidRPr="00433A86">
              <w:rPr>
                <w:rFonts w:cs="Arial"/>
                <w:szCs w:val="20"/>
              </w:rPr>
              <w:t>Pot fi: copii, persoane vârstnice, persoane cu handicap, persoane dependente de consumul de droguri, alcool sau alte substanţe toxice, persoane care au părăsit penitenciarele, familii monoparentale, persoane afectate de violenţa în familie, victime ale traficului de fiinţe umane, persoane infectate sau bolnave HIV/SIDA, fără venituri sau cu venituri mici, imigranţi, persoane fără adăpost, bolnavi cronici, persoane care suferă de boli incurabile, precum şi alte persoane aflate în situaţii de nevoie socială. (art. 25 din Ordonanţa nr. 68 /28 august 2003</w:t>
            </w:r>
            <w:r w:rsidRPr="00433A86">
              <w:rPr>
                <w:rStyle w:val="FootnoteReference"/>
                <w:rFonts w:cs="Arial"/>
                <w:szCs w:val="20"/>
              </w:rPr>
              <w:footnoteReference w:id="18"/>
            </w:r>
            <w:r w:rsidRPr="00433A86">
              <w:rPr>
                <w:rFonts w:cs="Arial"/>
                <w:szCs w:val="20"/>
              </w:rPr>
              <w:t xml:space="preserve"> privind serviciile sociale, cu modificările şi completările ulterioare)</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Centre rezidenţiale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cs="Arial"/>
                <w:szCs w:val="20"/>
              </w:rPr>
            </w:pPr>
            <w:r w:rsidRPr="00433A86">
              <w:rPr>
                <w:rFonts w:cs="Arial"/>
                <w:szCs w:val="20"/>
              </w:rPr>
              <w:t xml:space="preserve">Centrele rezidenţiale reprezintă aşezăminte în care serviciile sociale sunt acordate de personal calificat şi care dispun de infrastructura adecvată furnizării acestora; în centrele rezidenţiale persoana este găzduită mai mult de 24 de ore. – art. 12 alin 2 din Legea nr. 47 din  8 martie 2006, privind sistemul naţional de asistenţă socială  </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bCs/>
                <w:szCs w:val="20"/>
              </w:rPr>
              <w:t>C</w:t>
            </w:r>
            <w:r w:rsidRPr="00433A86">
              <w:rPr>
                <w:rFonts w:cs="Arial"/>
                <w:szCs w:val="20"/>
              </w:rPr>
              <w:t>entrele sociale cu destinaţie multifuncţională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rFonts w:cs="Arial"/>
                <w:szCs w:val="20"/>
              </w:rPr>
            </w:pPr>
            <w:r w:rsidRPr="00433A86">
              <w:rPr>
                <w:rFonts w:cs="Arial"/>
                <w:szCs w:val="20"/>
              </w:rPr>
              <w:t xml:space="preserve">Centre care pot acoperi o gamă variată de servicii, care includ şi servicii sociale primare, cu scopul de a ajuta persoanele în dificultate, începând cu acceptarea lor în centru, până la rezolvarea  unor probleme specifice cu care acestea se confruntă, temporar, inclusiv prin organizarea unor ateliere de lucru pentru dezvoltarea deprinderilor de viaţă independente şi a competenţelor profesionale. </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CommentText"/>
              <w:ind w:left="181" w:right="221"/>
              <w:jc w:val="both"/>
              <w:rPr>
                <w:rFonts w:cs="Arial"/>
              </w:rPr>
            </w:pPr>
            <w:r w:rsidRPr="00433A86">
              <w:rPr>
                <w:rFonts w:cs="Arial"/>
              </w:rPr>
              <w:t>Furnizorii de servicii sociale publici</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numPr>
                <w:ilvl w:val="0"/>
                <w:numId w:val="10"/>
              </w:numPr>
              <w:ind w:right="142"/>
              <w:rPr>
                <w:rFonts w:cs="Arial"/>
                <w:szCs w:val="20"/>
              </w:rPr>
            </w:pPr>
            <w:r w:rsidRPr="00433A86">
              <w:rPr>
                <w:rFonts w:cs="Arial"/>
                <w:szCs w:val="20"/>
              </w:rPr>
              <w:t xml:space="preserve">serviciul public de asistenţă socială la nivel judeţean şi local, </w:t>
            </w:r>
          </w:p>
          <w:p w:rsidR="00EC3D5B" w:rsidRPr="00433A86" w:rsidRDefault="00EC3D5B" w:rsidP="00B856FB">
            <w:pPr>
              <w:pStyle w:val="Normal1"/>
              <w:numPr>
                <w:ilvl w:val="0"/>
                <w:numId w:val="10"/>
              </w:numPr>
              <w:ind w:right="142"/>
              <w:rPr>
                <w:rFonts w:cs="Arial"/>
                <w:szCs w:val="20"/>
              </w:rPr>
            </w:pPr>
            <w:r w:rsidRPr="00433A86">
              <w:rPr>
                <w:rFonts w:cs="Arial"/>
                <w:szCs w:val="20"/>
              </w:rPr>
              <w:t xml:space="preserve">alte servicii publice specializate la nivel judeţean sau local, </w:t>
            </w:r>
          </w:p>
          <w:p w:rsidR="00EC3D5B" w:rsidRPr="00433A86" w:rsidRDefault="00EC3D5B" w:rsidP="00B856FB">
            <w:pPr>
              <w:pStyle w:val="Normal1"/>
              <w:numPr>
                <w:ilvl w:val="0"/>
                <w:numId w:val="10"/>
              </w:numPr>
              <w:ind w:right="142"/>
              <w:rPr>
                <w:szCs w:val="20"/>
              </w:rPr>
            </w:pPr>
            <w:r w:rsidRPr="00433A86">
              <w:rPr>
                <w:rFonts w:cs="Arial"/>
                <w:szCs w:val="20"/>
              </w:rPr>
              <w:t xml:space="preserve">instituţii publice care dezvoltă compartimente de asistenţă socială specializate, constituite şi care funcţionează în conformitate cu </w:t>
            </w:r>
            <w:r w:rsidRPr="00433A86">
              <w:rPr>
                <w:szCs w:val="20"/>
              </w:rPr>
              <w:t>Ordonanţa Guvernului nr. 68/2003</w:t>
            </w:r>
            <w:r w:rsidRPr="00433A86">
              <w:rPr>
                <w:szCs w:val="20"/>
              </w:rPr>
              <w:footnoteReference w:id="19"/>
            </w:r>
            <w:r w:rsidRPr="00433A86">
              <w:rPr>
                <w:szCs w:val="20"/>
              </w:rPr>
              <w:t xml:space="preserve"> privind serviciile sociale şi Hotărârea de Guvern nr. 1024/2004</w:t>
            </w:r>
            <w:r w:rsidRPr="00433A86">
              <w:rPr>
                <w:szCs w:val="20"/>
              </w:rPr>
              <w:footnoteReference w:id="20"/>
            </w:r>
            <w:r w:rsidRPr="00433A86">
              <w:rPr>
                <w:szCs w:val="20"/>
              </w:rPr>
              <w:t xml:space="preserve"> pentru aprobarea Normelor </w:t>
            </w:r>
            <w:r w:rsidRPr="00433A86">
              <w:rPr>
                <w:szCs w:val="20"/>
              </w:rPr>
              <w:lastRenderedPageBreak/>
              <w:t>metodologice de aplicare a prevederilor Ordonanţei Guvernului nr. 68/2003</w:t>
            </w:r>
            <w:r w:rsidRPr="00433A86">
              <w:rPr>
                <w:szCs w:val="20"/>
              </w:rPr>
              <w:footnoteReference w:id="21"/>
            </w:r>
            <w:r w:rsidRPr="00433A86">
              <w:rPr>
                <w:szCs w:val="20"/>
              </w:rPr>
              <w:t xml:space="preserve"> privind serviciile sociale, precum şi a Metodologiei de acreditare a furnizorilor de servicii sociale, cu modificările şi completările ulterioare</w:t>
            </w:r>
          </w:p>
          <w:p w:rsidR="00EC3D5B" w:rsidRPr="00433A86" w:rsidRDefault="00EC3D5B" w:rsidP="00B856FB">
            <w:pPr>
              <w:pStyle w:val="Normal1"/>
              <w:numPr>
                <w:ilvl w:val="0"/>
                <w:numId w:val="10"/>
              </w:numPr>
              <w:ind w:right="142"/>
              <w:rPr>
                <w:rFonts w:cs="Arial"/>
                <w:szCs w:val="20"/>
              </w:rPr>
            </w:pPr>
            <w:r w:rsidRPr="00433A86">
              <w:rPr>
                <w:szCs w:val="20"/>
              </w:rPr>
              <w:t>unităţi de asistenţă medico-socială, înfiinţate în conformitate cu prevederile HG nr. 412/2003 pentru aprobarea Normelor privind organizarea, funcţionarea şi finanţarea unităţilor de asistenţă medico-sociale şi acreditate ca furnizori de servicii sociale în conformitate cu prevederile art. 25 din Anexa nr. 2 Metodologia de acreditare a furnizorilor de servicii sociale la HG nr. 1024/2004 pentru aprobarea Normelor metodologice de aplicare a prevederilor Ordonanţei Guvernului nr. 68/2003 privind serviciile sociale, precum şi a Metodologiei de acreditare a furnizorilor de servicii sociale</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lastRenderedPageBreak/>
              <w:t>Nevoia socială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ind w:left="142" w:right="142"/>
              <w:rPr>
                <w:rFonts w:eastAsia="Arial Unicode MS" w:cs="Arial"/>
                <w:szCs w:val="20"/>
              </w:rPr>
            </w:pPr>
            <w:r w:rsidRPr="00433A86">
              <w:rPr>
                <w:rFonts w:cs="Arial"/>
                <w:szCs w:val="20"/>
              </w:rPr>
              <w:t>Ansamblul de cerinţe indispensabile fiecărei persoane pentru asigurarea condiţiilor de viaţă, în vederea integrării sociale; (art. 5, lit. b) din Legea nr. 47/2006, privind sistemul naţional de asistenţă socială)</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Prestaţiile sociale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autoSpaceDE w:val="0"/>
              <w:autoSpaceDN w:val="0"/>
              <w:adjustRightInd w:val="0"/>
              <w:spacing w:before="60" w:after="60"/>
              <w:ind w:left="142" w:right="142"/>
              <w:jc w:val="both"/>
              <w:rPr>
                <w:rFonts w:cs="Arial"/>
                <w:szCs w:val="20"/>
              </w:rPr>
            </w:pPr>
            <w:r w:rsidRPr="00433A86">
              <w:rPr>
                <w:rFonts w:cs="Arial"/>
                <w:szCs w:val="20"/>
              </w:rPr>
              <w:t>Măsuri de redistribuţie financiară destinate persoanelor sau familiilor care întrunesc condiţiile de eligibilitate prevăzute de lege; (art. 5, lit. c ) din Legea nr. 47/8 martie 2006, privind sistemul naţional de asistenţă socială)</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Procesul de incluziune socială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autoSpaceDE w:val="0"/>
              <w:autoSpaceDN w:val="0"/>
              <w:adjustRightInd w:val="0"/>
              <w:spacing w:before="60" w:after="60"/>
              <w:ind w:left="142" w:right="142"/>
              <w:jc w:val="both"/>
              <w:rPr>
                <w:rFonts w:cs="Arial"/>
                <w:szCs w:val="20"/>
              </w:rPr>
            </w:pPr>
            <w:r w:rsidRPr="00433A86">
              <w:rPr>
                <w:rFonts w:cs="Arial"/>
                <w:szCs w:val="20"/>
              </w:rPr>
              <w:t>Set de măsuri şi acţiuni multidimensionale din domeniile protecţiei sociale, ocupării forţei de muncă, locuirii, educaţiei, sănătăţii, informării-comunicării, mobilităţii, securităţii, justiţiei şi culturii, destinate combaterii excluziunii sociale; (art.5, lit.a) din Legea nr. 47 din 8 martie 2006, privind sistemul naţional de asistenţă socială)</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rFonts w:cs="Arial"/>
                <w:szCs w:val="20"/>
              </w:rPr>
            </w:pPr>
            <w:r w:rsidRPr="00433A86">
              <w:rPr>
                <w:rFonts w:cs="Arial"/>
                <w:szCs w:val="20"/>
              </w:rPr>
              <w:t>Servicii sociale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CommentText"/>
              <w:spacing w:before="60" w:after="60"/>
              <w:ind w:left="142" w:right="142"/>
              <w:jc w:val="both"/>
              <w:rPr>
                <w:rFonts w:cs="Arial"/>
              </w:rPr>
            </w:pPr>
            <w:r w:rsidRPr="00433A86">
              <w:rPr>
                <w:rFonts w:cs="Arial"/>
              </w:rPr>
              <w:t>Ansamblu complex de măsuri şi acţiuni realizate pentru a răspunde nevoilor sociale ale persoanelor, familiilor, grupurilor sau comunităţilor, în vederea prevenirii şi depăşirii unor situaţii de dificultate, vulnerabilitate ori dependenţă, pentru creşterea calităţii vieţii şi promovarea coeziunii sociale; serviciile sociale se pot organiza în forme diverse, stabilite prin nomenclatorul serviciilor sociale; (art.5, lit.d ) din Legea nr. 47/2006, privind sistemul naţional de asistenţă socială)</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spacing w:before="120" w:after="120"/>
              <w:ind w:left="181" w:right="221"/>
              <w:rPr>
                <w:rFonts w:cs="Arial"/>
                <w:szCs w:val="20"/>
              </w:rPr>
            </w:pPr>
            <w:r w:rsidRPr="00433A86">
              <w:rPr>
                <w:rFonts w:cs="Arial"/>
                <w:szCs w:val="20"/>
              </w:rPr>
              <w:t>Sistemul naţional de asistenţă socială</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pStyle w:val="Normal1"/>
              <w:autoSpaceDE w:val="0"/>
              <w:autoSpaceDN w:val="0"/>
              <w:adjustRightInd w:val="0"/>
              <w:ind w:left="142" w:right="142"/>
              <w:rPr>
                <w:rFonts w:cs="Arial"/>
                <w:szCs w:val="20"/>
              </w:rPr>
            </w:pPr>
            <w:r w:rsidRPr="00433A86">
              <w:rPr>
                <w:rFonts w:cs="Arial"/>
                <w:szCs w:val="20"/>
              </w:rPr>
              <w:t>Ansamblu de instituţii şi măsuri prin care statul, prin autorităţile administraţiei publice centrale şi locale, colectivitatea locală şi societatea civilă intervin pentru prevenirea, limitarea sau înlăturarea efectelor temporare ori permanente ale unor situaţii care pot genera marginalizarea sau excluziunea socială a persoanei, familiei, grupurilor ori comunităţilor. (art.2, alin. 1 din Legea nr. 47/2006, privind sistemul naţional de asistenţă socială)</w:t>
            </w:r>
          </w:p>
        </w:tc>
      </w:tr>
    </w:tbl>
    <w:p w:rsidR="00EC3D5B" w:rsidRPr="00433A86" w:rsidRDefault="00EC3D5B" w:rsidP="00B856FB">
      <w:pPr>
        <w:jc w:val="both"/>
        <w:rPr>
          <w:szCs w:val="20"/>
        </w:rPr>
      </w:pPr>
    </w:p>
    <w:p w:rsidR="00EC3D5B" w:rsidRPr="00433A86" w:rsidRDefault="00EC3D5B" w:rsidP="00B856FB">
      <w:pPr>
        <w:jc w:val="both"/>
        <w:rPr>
          <w:szCs w:val="20"/>
        </w:rPr>
      </w:pPr>
    </w:p>
    <w:p w:rsidR="00EC3D5B" w:rsidRPr="00433A86" w:rsidRDefault="00EC3D5B" w:rsidP="00B856FB">
      <w:pPr>
        <w:jc w:val="both"/>
        <w:rPr>
          <w:b/>
          <w:bCs/>
          <w:szCs w:val="20"/>
        </w:rPr>
      </w:pPr>
      <w:r w:rsidRPr="00433A86">
        <w:rPr>
          <w:b/>
          <w:bCs/>
          <w:szCs w:val="20"/>
        </w:rPr>
        <w:t>Patrimoniu</w:t>
      </w:r>
    </w:p>
    <w:p w:rsidR="00EC3D5B" w:rsidRPr="00433A86" w:rsidRDefault="00EC3D5B" w:rsidP="00B856FB">
      <w:pPr>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215" w:right="142"/>
              <w:jc w:val="both"/>
              <w:rPr>
                <w:szCs w:val="20"/>
              </w:rPr>
            </w:pPr>
            <w:r w:rsidRPr="00433A86">
              <w:rPr>
                <w:szCs w:val="20"/>
              </w:rPr>
              <w:t>Institutul Naţional al Monumentelor Istorice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spacing w:before="60" w:after="60"/>
              <w:ind w:left="142" w:right="142"/>
              <w:jc w:val="both"/>
              <w:rPr>
                <w:szCs w:val="20"/>
              </w:rPr>
            </w:pPr>
            <w:r w:rsidRPr="00433A86">
              <w:rPr>
                <w:rStyle w:val="style11"/>
                <w:rFonts w:ascii="Trebuchet MS" w:hAnsi="Trebuchet MS"/>
                <w:sz w:val="20"/>
                <w:szCs w:val="20"/>
              </w:rPr>
              <w:t xml:space="preserve">Institutul Naţional al Monumentelor Istorice, denumit în continuare INMI, este înfiinţat în baza art. 29(1) din Legea nr. 422/2001 ca instituţie publică, cu personalitate juridică, în subordinea Ministerului Culturii şi Cultelor şi este finanţat de la bugetul de stat şi din venituri extrabugetare. </w:t>
            </w:r>
            <w:r w:rsidRPr="00433A86">
              <w:rPr>
                <w:szCs w:val="20"/>
              </w:rPr>
              <w:br/>
            </w:r>
            <w:r w:rsidRPr="00433A86">
              <w:rPr>
                <w:rStyle w:val="style11"/>
                <w:rFonts w:ascii="Trebuchet MS" w:hAnsi="Trebuchet MS"/>
                <w:sz w:val="20"/>
                <w:szCs w:val="20"/>
              </w:rPr>
              <w:t xml:space="preserve">Organizarea şi funcţionarea institutului este reglementată de Hotărârea </w:t>
            </w:r>
            <w:r w:rsidRPr="00433A86">
              <w:rPr>
                <w:rStyle w:val="style11"/>
                <w:rFonts w:ascii="Trebuchet MS" w:hAnsi="Trebuchet MS"/>
                <w:sz w:val="20"/>
                <w:szCs w:val="20"/>
              </w:rPr>
              <w:lastRenderedPageBreak/>
              <w:t xml:space="preserve">Guvernului nr. 261/2002, publicată în Monitorul Oficial al României, Partea I, nr.218/2002. </w:t>
            </w:r>
            <w:r w:rsidRPr="00433A86">
              <w:rPr>
                <w:szCs w:val="20"/>
              </w:rPr>
              <w:br/>
            </w:r>
            <w:r w:rsidRPr="00433A86">
              <w:rPr>
                <w:rStyle w:val="style11"/>
                <w:rFonts w:ascii="Trebuchet MS" w:hAnsi="Trebuchet MS"/>
                <w:sz w:val="20"/>
                <w:szCs w:val="20"/>
              </w:rPr>
              <w:t>INMI este organizat ca instituţie subordonată Ministerului Culturii şi Cultelor şi are ca obiectiv principal asigurarea desfăşurării unor activităţi din domeniul strategiei naţionale în domeniul protejării  monumentelor istorice</w:t>
            </w:r>
            <w:r w:rsidRPr="00433A86">
              <w:rPr>
                <w:rStyle w:val="style11"/>
                <w:rFonts w:ascii="Trebuchet MS" w:hAnsi="Trebuchet MS" w:cs="Arial"/>
                <w:sz w:val="20"/>
                <w:szCs w:val="20"/>
              </w:rPr>
              <w:t xml:space="preserve">.  </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lastRenderedPageBreak/>
              <w:t>Monument</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artistic, etnografic, religios, social, ştiinţific sau tehnic (Art.3 din Legea nr. 422/2001 republicată</w:t>
            </w:r>
            <w:r w:rsidRPr="00433A86">
              <w:rPr>
                <w:szCs w:val="20"/>
                <w:vertAlign w:val="superscript"/>
              </w:rPr>
              <w:footnoteReference w:id="22"/>
            </w:r>
            <w:r w:rsidRPr="00433A86">
              <w:rPr>
                <w:szCs w:val="20"/>
              </w:rPr>
              <w:t xml:space="preserve"> privind protejarea monumentelor istorice)</w:t>
            </w:r>
          </w:p>
        </w:tc>
      </w:tr>
      <w:tr w:rsidR="00EC3D5B" w:rsidRPr="00433A86"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Monument istoric</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Bunuri imobile, construcţii şi terenuri situate pe teritoriul româniei, semnificative pentru istoria, cultura şi civilizaţia naţională şi universală (Art.1 ali. (2) din Legea nr. 422/2001 republicată privind protejarea monumentelor istorice)</w:t>
            </w:r>
          </w:p>
        </w:tc>
      </w:tr>
      <w:tr w:rsidR="00EC3D5B" w:rsidRPr="000F2B1E" w:rsidTr="00EC3D5B">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433A86" w:rsidRDefault="00EC3D5B" w:rsidP="00B856FB">
            <w:pPr>
              <w:ind w:left="181" w:right="221"/>
              <w:jc w:val="both"/>
              <w:rPr>
                <w:szCs w:val="20"/>
              </w:rPr>
            </w:pPr>
            <w:r w:rsidRPr="00433A86">
              <w:rPr>
                <w:szCs w:val="20"/>
              </w:rPr>
              <w:t>Protecţia clădirilor de patrimoniu/ patrimoniului cultural</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AA6251" w:rsidRDefault="00EC3D5B" w:rsidP="00B856FB">
            <w:pPr>
              <w:ind w:left="181" w:right="221"/>
              <w:jc w:val="both"/>
              <w:rPr>
                <w:szCs w:val="20"/>
              </w:rPr>
            </w:pPr>
            <w:r w:rsidRPr="00433A86">
              <w:rPr>
                <w:szCs w:val="20"/>
              </w:rPr>
              <w:t>Activităţi care au ca scop paza şi întreţinerea clădirilor de patrimoniu/ patrimoniului cultural.</w:t>
            </w:r>
          </w:p>
        </w:tc>
      </w:tr>
    </w:tbl>
    <w:p w:rsidR="00EC3D5B" w:rsidRPr="00AA6251" w:rsidRDefault="00EC3D5B" w:rsidP="00B856FB">
      <w:pPr>
        <w:jc w:val="both"/>
        <w:rPr>
          <w:szCs w:val="20"/>
        </w:rPr>
      </w:pPr>
    </w:p>
    <w:p w:rsidR="00EC3D5B" w:rsidRPr="00AA6251" w:rsidRDefault="00EC3D5B" w:rsidP="00B856FB">
      <w:pPr>
        <w:jc w:val="both"/>
        <w:rPr>
          <w:b/>
          <w:bCs/>
          <w:szCs w:val="20"/>
        </w:rPr>
      </w:pPr>
    </w:p>
    <w:p w:rsidR="007151A6" w:rsidRPr="00AA6251" w:rsidRDefault="007151A6" w:rsidP="00B856FB">
      <w:pPr>
        <w:pStyle w:val="Normal1"/>
        <w:rPr>
          <w:szCs w:val="20"/>
        </w:rPr>
      </w:pPr>
    </w:p>
    <w:p w:rsidR="00EC3D5B" w:rsidRPr="00AA6251" w:rsidRDefault="007151A6" w:rsidP="00B856FB">
      <w:pPr>
        <w:jc w:val="both"/>
        <w:rPr>
          <w:szCs w:val="20"/>
        </w:rPr>
      </w:pPr>
      <w:r w:rsidRPr="00AA6251">
        <w:rPr>
          <w:szCs w:val="20"/>
        </w:rPr>
        <w:br w:type="page"/>
      </w:r>
    </w:p>
    <w:sectPr w:rsidR="00EC3D5B" w:rsidRPr="00AA625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1F" w:rsidRDefault="00A1471F" w:rsidP="007151A6">
      <w:pPr>
        <w:spacing w:before="0" w:after="0"/>
      </w:pPr>
      <w:r>
        <w:separator/>
      </w:r>
    </w:p>
  </w:endnote>
  <w:endnote w:type="continuationSeparator" w:id="0">
    <w:p w:rsidR="00A1471F" w:rsidRDefault="00A1471F" w:rsidP="007151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EUAlbertina-Regu">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36" w:rsidRDefault="007C6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36" w:rsidRDefault="007C6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36" w:rsidRDefault="007C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1F" w:rsidRDefault="00A1471F" w:rsidP="007151A6">
      <w:pPr>
        <w:spacing w:before="0" w:after="0"/>
      </w:pPr>
      <w:r>
        <w:separator/>
      </w:r>
    </w:p>
  </w:footnote>
  <w:footnote w:type="continuationSeparator" w:id="0">
    <w:p w:rsidR="00A1471F" w:rsidRDefault="00A1471F" w:rsidP="007151A6">
      <w:pPr>
        <w:spacing w:before="0" w:after="0"/>
      </w:pPr>
      <w:r>
        <w:continuationSeparator/>
      </w:r>
    </w:p>
  </w:footnote>
  <w:footnote w:id="1">
    <w:p w:rsidR="00DE7318" w:rsidRDefault="00DE7318" w:rsidP="00EC3D5B">
      <w:pPr>
        <w:pStyle w:val="FootnoteText"/>
      </w:pPr>
      <w:r>
        <w:rPr>
          <w:rStyle w:val="FootnoteReference"/>
        </w:rPr>
        <w:footnoteRef/>
      </w:r>
      <w:r>
        <w:t xml:space="preserve"> Publicată în Monitorul Oficial nr. 577 din 29 iunie 2004</w:t>
      </w:r>
    </w:p>
  </w:footnote>
  <w:footnote w:id="2">
    <w:p w:rsidR="00DE7318" w:rsidRDefault="00DE7318" w:rsidP="00EC3D5B">
      <w:pPr>
        <w:pStyle w:val="FootnoteText"/>
      </w:pPr>
      <w:r>
        <w:rPr>
          <w:rStyle w:val="FootnoteReference"/>
        </w:rPr>
        <w:footnoteRef/>
      </w:r>
      <w:r>
        <w:t xml:space="preserve"> Re</w:t>
      </w:r>
      <w:r>
        <w:rPr>
          <w:rStyle w:val="rvts6"/>
          <w:rFonts w:cs="Arial"/>
        </w:rPr>
        <w:t>publicată în Monitorul Oficial Nr. 123 din 20 februarie 2007</w:t>
      </w:r>
    </w:p>
  </w:footnote>
  <w:footnote w:id="3">
    <w:p w:rsidR="00DE7318" w:rsidRDefault="00DE7318" w:rsidP="00AE1373">
      <w:pPr>
        <w:pStyle w:val="FootnoteText"/>
      </w:pPr>
      <w:r>
        <w:rPr>
          <w:rStyle w:val="FootnoteReference"/>
        </w:rPr>
        <w:footnoteRef/>
      </w:r>
      <w:r>
        <w:t xml:space="preserve"> Republicată în Monitorul Oficial al României nr. 123 din 20 februarie 2007.</w:t>
      </w:r>
    </w:p>
  </w:footnote>
  <w:footnote w:id="4">
    <w:p w:rsidR="00DE7318" w:rsidRDefault="00DE7318" w:rsidP="00EC3D5B">
      <w:pPr>
        <w:pStyle w:val="FootnoteText"/>
      </w:pPr>
      <w:r>
        <w:rPr>
          <w:rStyle w:val="FootnoteReference"/>
        </w:rPr>
        <w:footnoteRef/>
      </w:r>
      <w:r>
        <w:t xml:space="preserve"> Publicată în Monitorul Oficial nr. 364 din 13 mai 2008</w:t>
      </w:r>
    </w:p>
  </w:footnote>
  <w:footnote w:id="5">
    <w:p w:rsidR="00DE7318" w:rsidRDefault="00DE7318" w:rsidP="00EC3D5B">
      <w:pPr>
        <w:pStyle w:val="FootnoteText"/>
      </w:pPr>
      <w:r>
        <w:rPr>
          <w:rStyle w:val="FootnoteReference"/>
        </w:rPr>
        <w:footnoteRef/>
      </w:r>
      <w:r>
        <w:t xml:space="preserve"> Publicată în Monitorul Oficial nr. 285 din 27 aprilie 2007</w:t>
      </w:r>
    </w:p>
  </w:footnote>
  <w:footnote w:id="6">
    <w:p w:rsidR="00DE7318" w:rsidRDefault="00DE7318" w:rsidP="00EC3D5B">
      <w:pPr>
        <w:pStyle w:val="FootnoteText"/>
      </w:pPr>
      <w:r>
        <w:rPr>
          <w:rStyle w:val="FootnoteReference"/>
        </w:rPr>
        <w:footnoteRef/>
      </w:r>
      <w:r>
        <w:t xml:space="preserve"> Conform Legii nr. 500 / 2002 privind finanţele publice, publicate în Monitorul Oficial nr. 597 / 13 august 2002, cu modificările şi completările ulterioare.</w:t>
      </w:r>
    </w:p>
  </w:footnote>
  <w:footnote w:id="7">
    <w:p w:rsidR="00DE7318" w:rsidRDefault="00DE7318" w:rsidP="00EC3D5B">
      <w:pPr>
        <w:pStyle w:val="FootnoteText"/>
      </w:pPr>
      <w:r>
        <w:rPr>
          <w:rStyle w:val="FootnoteReference"/>
        </w:rPr>
        <w:footnoteRef/>
      </w:r>
      <w:r>
        <w:t xml:space="preserve"> Conform Legii 273 / 2006 privind finanţele publice locale, publicate în Monitorul Oficial nr. 618 / 18 iulie 2006, cu modificările şi completările ulterioare.</w:t>
      </w:r>
    </w:p>
  </w:footnote>
  <w:footnote w:id="8">
    <w:p w:rsidR="00DE7318" w:rsidRDefault="00DE7318" w:rsidP="00B64AB9">
      <w:pPr>
        <w:pStyle w:val="FootnoteText"/>
      </w:pPr>
      <w:r>
        <w:rPr>
          <w:rStyle w:val="FootnoteReference"/>
        </w:rPr>
        <w:footnoteRef/>
      </w:r>
      <w:r>
        <w:t xml:space="preserve"> Publicată în Monitorul Oficial nr. 438 din 22 mai 2006</w:t>
      </w:r>
    </w:p>
  </w:footnote>
  <w:footnote w:id="9">
    <w:p w:rsidR="00DE7318" w:rsidRDefault="00DE7318" w:rsidP="00EC3D5B">
      <w:pPr>
        <w:pStyle w:val="FootnoteText"/>
      </w:pPr>
      <w:r>
        <w:rPr>
          <w:rStyle w:val="FootnoteReference"/>
        </w:rPr>
        <w:footnoteRef/>
      </w:r>
      <w:r>
        <w:t xml:space="preserve"> Publicată în Monitorul Oficial nr. 625 din 4 decembrie 2000</w:t>
      </w:r>
    </w:p>
  </w:footnote>
  <w:footnote w:id="10">
    <w:p w:rsidR="00DE7318" w:rsidRDefault="00DE7318" w:rsidP="00EC3D5B">
      <w:pPr>
        <w:pStyle w:val="FootnoteText"/>
      </w:pPr>
      <w:r>
        <w:rPr>
          <w:rStyle w:val="FootnoteReference"/>
        </w:rPr>
        <w:footnoteRef/>
      </w:r>
      <w:r>
        <w:t xml:space="preserve"> Publicat în Monitorul Oficial nr. 648 din 11 septembrie 2003</w:t>
      </w:r>
    </w:p>
  </w:footnote>
  <w:footnote w:id="11">
    <w:p w:rsidR="00DE7318" w:rsidRDefault="00DE7318" w:rsidP="00EC3D5B">
      <w:pPr>
        <w:pStyle w:val="FootnoteText"/>
      </w:pPr>
      <w:r>
        <w:rPr>
          <w:rStyle w:val="FootnoteReference"/>
        </w:rPr>
        <w:footnoteRef/>
      </w:r>
      <w:r>
        <w:t xml:space="preserve"> Publicată în Monitorul Oficial nr. 433 din 2 august 2001</w:t>
      </w:r>
    </w:p>
  </w:footnote>
  <w:footnote w:id="12">
    <w:p w:rsidR="00DE7318" w:rsidRDefault="00DE7318" w:rsidP="00EC3D5B">
      <w:pPr>
        <w:pStyle w:val="FootnoteText"/>
      </w:pPr>
      <w:r>
        <w:rPr>
          <w:rStyle w:val="FootnoteReference"/>
        </w:rPr>
        <w:footnoteRef/>
      </w:r>
      <w:r>
        <w:t xml:space="preserve"> Publicată în Jurnalul Oficial alUniunii Europene nr. L206 din 22 iulie 1992</w:t>
      </w:r>
    </w:p>
  </w:footnote>
  <w:footnote w:id="13">
    <w:p w:rsidR="00DE7318" w:rsidRDefault="00DE7318" w:rsidP="00EC3D5B">
      <w:pPr>
        <w:pStyle w:val="FootnoteText"/>
      </w:pPr>
      <w:r>
        <w:rPr>
          <w:rStyle w:val="FootnoteReference"/>
        </w:rPr>
        <w:footnoteRef/>
      </w:r>
      <w:r>
        <w:t xml:space="preserve"> Publicată în Monitorul Oficial nr.36 din 18 ianuarie 2007</w:t>
      </w:r>
    </w:p>
  </w:footnote>
  <w:footnote w:id="14">
    <w:p w:rsidR="00DE7318" w:rsidRDefault="00DE7318" w:rsidP="00EC3D5B">
      <w:pPr>
        <w:pStyle w:val="FootnoteText"/>
      </w:pPr>
      <w:r>
        <w:rPr>
          <w:rStyle w:val="FootnoteReference"/>
        </w:rPr>
        <w:footnoteRef/>
      </w:r>
      <w:r>
        <w:t xml:space="preserve"> Publicată în Monitorul Oficial nr. 825 din 13 septembrie 2005</w:t>
      </w:r>
    </w:p>
  </w:footnote>
  <w:footnote w:id="15">
    <w:p w:rsidR="00DE7318" w:rsidRDefault="00DE7318" w:rsidP="00EC3D5B">
      <w:pPr>
        <w:pStyle w:val="FootnoteText"/>
      </w:pPr>
      <w:r>
        <w:rPr>
          <w:rStyle w:val="FootnoteReference"/>
        </w:rPr>
        <w:footnoteRef/>
      </w:r>
      <w:r>
        <w:t xml:space="preserve"> Publicată în Monitorul Oficial nr.48 din 22 ianuarie 2008</w:t>
      </w:r>
    </w:p>
  </w:footnote>
  <w:footnote w:id="16">
    <w:p w:rsidR="00DE7318" w:rsidRDefault="00DE7318" w:rsidP="00AE1373">
      <w:pPr>
        <w:pStyle w:val="FootnoteText"/>
      </w:pPr>
      <w:r>
        <w:rPr>
          <w:rStyle w:val="FootnoteReference"/>
        </w:rPr>
        <w:footnoteRef/>
      </w:r>
      <w:r>
        <w:t xml:space="preserve"> Publicată în Monitorul Oficial nr. 408 din 24 iulie 2001</w:t>
      </w:r>
    </w:p>
  </w:footnote>
  <w:footnote w:id="17">
    <w:p w:rsidR="00DE7318" w:rsidRDefault="00DE7318" w:rsidP="00EC3D5B">
      <w:pPr>
        <w:pStyle w:val="FootnoteText"/>
        <w:rPr>
          <w:b/>
          <w:bCs/>
        </w:rPr>
      </w:pPr>
      <w:r>
        <w:rPr>
          <w:rStyle w:val="FootnoteReference"/>
          <w:b/>
          <w:bCs/>
        </w:rPr>
        <w:footnoteRef/>
      </w:r>
      <w:r>
        <w:rPr>
          <w:b/>
          <w:bCs/>
        </w:rPr>
        <w:t xml:space="preserve"> </w:t>
      </w:r>
      <w:r>
        <w:t>Publicată în Monitorul Oficial nr. 239 din 16 martie 2006</w:t>
      </w:r>
    </w:p>
  </w:footnote>
  <w:footnote w:id="18">
    <w:p w:rsidR="00DE7318" w:rsidRDefault="00DE7318" w:rsidP="00EC3D5B">
      <w:pPr>
        <w:pStyle w:val="FootnoteText"/>
      </w:pPr>
      <w:r>
        <w:rPr>
          <w:rStyle w:val="FootnoteReference"/>
        </w:rPr>
        <w:footnoteRef/>
      </w:r>
      <w:r>
        <w:t xml:space="preserve"> </w:t>
      </w:r>
      <w:r>
        <w:rPr>
          <w:rStyle w:val="rvts6"/>
          <w:rFonts w:cs="Arial"/>
        </w:rPr>
        <w:t>Publicată în: Monitorul Oficial Nr. 619 din 30 august 2003</w:t>
      </w:r>
    </w:p>
  </w:footnote>
  <w:footnote w:id="19">
    <w:p w:rsidR="00DE7318" w:rsidRDefault="00DE7318" w:rsidP="00EC3D5B">
      <w:pPr>
        <w:pStyle w:val="FootnoteText"/>
      </w:pPr>
      <w:r>
        <w:rPr>
          <w:rStyle w:val="FootnoteReference"/>
        </w:rPr>
        <w:footnoteRef/>
      </w:r>
      <w:r>
        <w:t xml:space="preserve"> </w:t>
      </w:r>
      <w:r>
        <w:rPr>
          <w:rStyle w:val="rvts6"/>
          <w:rFonts w:cs="Arial"/>
        </w:rPr>
        <w:t>Publicată în Monitorul Oficial Nr. 619 din 30 august 2003</w:t>
      </w:r>
      <w:r>
        <w:t xml:space="preserve"> </w:t>
      </w:r>
    </w:p>
  </w:footnote>
  <w:footnote w:id="20">
    <w:p w:rsidR="00DE7318" w:rsidRDefault="00DE7318" w:rsidP="00EC3D5B">
      <w:pPr>
        <w:pStyle w:val="FootnoteText"/>
      </w:pPr>
      <w:r>
        <w:rPr>
          <w:rStyle w:val="FootnoteReference"/>
        </w:rPr>
        <w:footnoteRef/>
      </w:r>
      <w:r>
        <w:t xml:space="preserve"> </w:t>
      </w:r>
      <w:r>
        <w:rPr>
          <w:rStyle w:val="rvts6"/>
          <w:rFonts w:cs="Arial"/>
        </w:rPr>
        <w:t>Publicată în Monitorul Oficial Nr. 682 din 29 iulie 2004</w:t>
      </w:r>
    </w:p>
  </w:footnote>
  <w:footnote w:id="21">
    <w:p w:rsidR="00DE7318" w:rsidRDefault="00DE7318" w:rsidP="00EC3D5B">
      <w:pPr>
        <w:pStyle w:val="FootnoteText"/>
      </w:pPr>
      <w:r>
        <w:rPr>
          <w:rStyle w:val="FootnoteReference"/>
        </w:rPr>
        <w:footnoteRef/>
      </w:r>
      <w:r>
        <w:t xml:space="preserve"> </w:t>
      </w:r>
      <w:r>
        <w:rPr>
          <w:rStyle w:val="rvts6"/>
          <w:rFonts w:cs="Arial"/>
        </w:rPr>
        <w:t>Publicată în Monitorul Oficial Nr. 619 din 30 august 2003</w:t>
      </w:r>
      <w:r>
        <w:t xml:space="preserve"> </w:t>
      </w:r>
    </w:p>
  </w:footnote>
  <w:footnote w:id="22">
    <w:p w:rsidR="00DE7318" w:rsidRDefault="00DE7318" w:rsidP="00EC3D5B">
      <w:pPr>
        <w:pStyle w:val="FootnoteText"/>
      </w:pPr>
      <w:r>
        <w:rPr>
          <w:rStyle w:val="FootnoteReference"/>
        </w:rPr>
        <w:footnoteRef/>
      </w:r>
      <w:r>
        <w:t xml:space="preserve"> Publicată în Monitorul Oficial nr. 938 din 20 noiembrie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36" w:rsidRDefault="007C6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18" w:rsidRDefault="00DE7318" w:rsidP="00A616C8">
    <w:pPr>
      <w:pStyle w:val="Header"/>
    </w:pPr>
  </w:p>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DE7318" w:rsidTr="00DE7318">
      <w:tc>
        <w:tcPr>
          <w:tcW w:w="7560" w:type="dxa"/>
        </w:tcPr>
        <w:p w:rsidR="00DE7318" w:rsidRPr="001F2E80" w:rsidRDefault="00DE7318" w:rsidP="00DE7318">
          <w:pPr>
            <w:spacing w:before="0" w:after="0"/>
            <w:rPr>
              <w:color w:val="808080"/>
              <w:sz w:val="14"/>
            </w:rPr>
          </w:pPr>
          <w:r>
            <w:rPr>
              <w:color w:val="808080"/>
              <w:sz w:val="14"/>
            </w:rPr>
            <w:t>Programul Operaţional Regional 2014-2020</w:t>
          </w:r>
        </w:p>
      </w:tc>
      <w:tc>
        <w:tcPr>
          <w:tcW w:w="1260" w:type="dxa"/>
        </w:tcPr>
        <w:p w:rsidR="00DE7318" w:rsidRDefault="00DE7318" w:rsidP="00DE7318">
          <w:pPr>
            <w:spacing w:before="0" w:after="0"/>
            <w:jc w:val="right"/>
            <w:rPr>
              <w:color w:val="808080"/>
              <w:sz w:val="14"/>
            </w:rPr>
          </w:pPr>
          <w:r>
            <w:rPr>
              <w:color w:val="808080"/>
              <w:sz w:val="14"/>
            </w:rPr>
            <w:fldChar w:fldCharType="begin"/>
          </w:r>
          <w:r>
            <w:rPr>
              <w:color w:val="808080"/>
              <w:sz w:val="14"/>
            </w:rPr>
            <w:instrText xml:space="preserve"> SAVEDATE \@ "MMMM yyyy" \* MERGEFORMAT </w:instrText>
          </w:r>
          <w:r>
            <w:rPr>
              <w:color w:val="808080"/>
              <w:sz w:val="14"/>
            </w:rPr>
            <w:fldChar w:fldCharType="separate"/>
          </w:r>
          <w:r w:rsidR="007C22F9">
            <w:rPr>
              <w:noProof/>
              <w:color w:val="808080"/>
              <w:sz w:val="14"/>
            </w:rPr>
            <w:t>mai 2015</w:t>
          </w:r>
          <w:r>
            <w:rPr>
              <w:color w:val="808080"/>
              <w:sz w:val="14"/>
            </w:rPr>
            <w:fldChar w:fldCharType="end"/>
          </w:r>
        </w:p>
      </w:tc>
    </w:tr>
    <w:tr w:rsidR="00DE7318" w:rsidTr="00DE7318">
      <w:trPr>
        <w:cantSplit/>
      </w:trPr>
      <w:tc>
        <w:tcPr>
          <w:tcW w:w="8820" w:type="dxa"/>
          <w:gridSpan w:val="2"/>
        </w:tcPr>
        <w:p w:rsidR="00DE7318" w:rsidRDefault="00DE7318" w:rsidP="00DE7318">
          <w:pPr>
            <w:spacing w:before="0" w:after="0"/>
            <w:jc w:val="right"/>
            <w:rPr>
              <w:b/>
              <w:bCs/>
              <w:color w:val="808080"/>
              <w:sz w:val="14"/>
            </w:rPr>
          </w:pPr>
          <w:r>
            <w:rPr>
              <w:b/>
              <w:bCs/>
              <w:color w:val="808080"/>
              <w:sz w:val="14"/>
            </w:rPr>
            <w:t>Ghidul Solicitantului</w:t>
          </w:r>
        </w:p>
      </w:tc>
    </w:tr>
  </w:tbl>
  <w:p w:rsidR="00DE7318" w:rsidRDefault="00DE7318" w:rsidP="00A616C8">
    <w:pPr>
      <w:spacing w:before="0" w:after="0"/>
      <w:jc w:val="right"/>
      <w:rPr>
        <w:b/>
        <w:bCs/>
        <w:color w:val="808080"/>
        <w:sz w:val="14"/>
      </w:rPr>
    </w:pPr>
    <w:r w:rsidRPr="001F2E80">
      <w:rPr>
        <w:b/>
        <w:bCs/>
        <w:color w:val="808080"/>
        <w:sz w:val="14"/>
      </w:rPr>
      <w:t xml:space="preserve">Condiții </w:t>
    </w:r>
    <w:r>
      <w:rPr>
        <w:b/>
        <w:bCs/>
        <w:color w:val="808080"/>
        <w:sz w:val="14"/>
      </w:rPr>
      <w:t xml:space="preserve">generale </w:t>
    </w:r>
    <w:r w:rsidRPr="001F2E80">
      <w:rPr>
        <w:b/>
        <w:bCs/>
        <w:color w:val="808080"/>
        <w:sz w:val="14"/>
      </w:rPr>
      <w:t>de accesare a fondurilor</w:t>
    </w:r>
  </w:p>
  <w:p w:rsidR="00DE7318" w:rsidRDefault="00DE7318" w:rsidP="00A616C8">
    <w:pPr>
      <w:spacing w:before="0" w:after="0"/>
      <w:jc w:val="right"/>
      <w:rPr>
        <w:sz w:val="16"/>
      </w:rPr>
    </w:pPr>
    <w:r>
      <w:rPr>
        <w:b/>
        <w:bCs/>
        <w:color w:val="808080"/>
        <w:sz w:val="14"/>
      </w:rPr>
      <w:t xml:space="preserve">ANEXA </w:t>
    </w:r>
    <w:r w:rsidR="00F702C1">
      <w:rPr>
        <w:b/>
        <w:bCs/>
        <w:color w:val="808080"/>
        <w:sz w:val="14"/>
      </w:rPr>
      <w:t>10</w:t>
    </w:r>
    <w:r>
      <w:rPr>
        <w:b/>
        <w:bCs/>
        <w:color w:val="808080"/>
        <w:sz w:val="14"/>
      </w:rPr>
      <w:t>.</w:t>
    </w:r>
    <w:r w:rsidR="00F702C1">
      <w:rPr>
        <w:b/>
        <w:bCs/>
        <w:color w:val="808080"/>
        <w:sz w:val="14"/>
      </w:rPr>
      <w:t>5</w:t>
    </w:r>
  </w:p>
  <w:p w:rsidR="00DE7318" w:rsidRDefault="00DE7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36" w:rsidRDefault="007C6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04A0587"/>
    <w:multiLevelType w:val="hybridMultilevel"/>
    <w:tmpl w:val="52A873B0"/>
    <w:lvl w:ilvl="0" w:tplc="6114D322">
      <w:start w:val="1"/>
      <w:numFmt w:val="bullet"/>
      <w:lvlText w:val=""/>
      <w:lvlJc w:val="left"/>
      <w:pPr>
        <w:tabs>
          <w:tab w:val="num" w:pos="360"/>
        </w:tabs>
        <w:ind w:left="360" w:hanging="360"/>
      </w:pPr>
      <w:rPr>
        <w:rFonts w:ascii="Wingdings" w:hAnsi="Wingdings" w:hint="default"/>
        <w:color w:val="808080"/>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B8158C"/>
    <w:multiLevelType w:val="hybridMultilevel"/>
    <w:tmpl w:val="A52C11E8"/>
    <w:lvl w:ilvl="0" w:tplc="0409000B">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222"/>
        </w:tabs>
        <w:ind w:left="1222" w:hanging="360"/>
      </w:pPr>
      <w:rPr>
        <w:rFonts w:ascii="Courier New" w:hAnsi="Courier New" w:cs="Times New Roman"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Times New Roman"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Times New Roman"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
    <w:nsid w:val="598757B3"/>
    <w:multiLevelType w:val="hybridMultilevel"/>
    <w:tmpl w:val="5F862D16"/>
    <w:lvl w:ilvl="0" w:tplc="A0487CA6">
      <w:start w:val="1"/>
      <w:numFmt w:val="lowerLetter"/>
      <w:lvlText w:val="%1)"/>
      <w:lvlJc w:val="left"/>
      <w:pPr>
        <w:tabs>
          <w:tab w:val="num" w:pos="469"/>
        </w:tabs>
        <w:ind w:left="469" w:hanging="360"/>
      </w:pPr>
      <w:rPr>
        <w:rFonts w:hint="default"/>
      </w:rPr>
    </w:lvl>
    <w:lvl w:ilvl="1" w:tplc="04090019" w:tentative="1">
      <w:start w:val="1"/>
      <w:numFmt w:val="lowerLetter"/>
      <w:lvlText w:val="%2."/>
      <w:lvlJc w:val="left"/>
      <w:pPr>
        <w:tabs>
          <w:tab w:val="num" w:pos="1189"/>
        </w:tabs>
        <w:ind w:left="1189" w:hanging="360"/>
      </w:pPr>
    </w:lvl>
    <w:lvl w:ilvl="2" w:tplc="0409001B" w:tentative="1">
      <w:start w:val="1"/>
      <w:numFmt w:val="lowerRoman"/>
      <w:lvlText w:val="%3."/>
      <w:lvlJc w:val="right"/>
      <w:pPr>
        <w:tabs>
          <w:tab w:val="num" w:pos="1909"/>
        </w:tabs>
        <w:ind w:left="1909" w:hanging="180"/>
      </w:pPr>
    </w:lvl>
    <w:lvl w:ilvl="3" w:tplc="0409000F" w:tentative="1">
      <w:start w:val="1"/>
      <w:numFmt w:val="decimal"/>
      <w:lvlText w:val="%4."/>
      <w:lvlJc w:val="left"/>
      <w:pPr>
        <w:tabs>
          <w:tab w:val="num" w:pos="2629"/>
        </w:tabs>
        <w:ind w:left="2629" w:hanging="360"/>
      </w:pPr>
    </w:lvl>
    <w:lvl w:ilvl="4" w:tplc="04090019" w:tentative="1">
      <w:start w:val="1"/>
      <w:numFmt w:val="lowerLetter"/>
      <w:lvlText w:val="%5."/>
      <w:lvlJc w:val="left"/>
      <w:pPr>
        <w:tabs>
          <w:tab w:val="num" w:pos="3349"/>
        </w:tabs>
        <w:ind w:left="3349" w:hanging="360"/>
      </w:pPr>
    </w:lvl>
    <w:lvl w:ilvl="5" w:tplc="0409001B" w:tentative="1">
      <w:start w:val="1"/>
      <w:numFmt w:val="lowerRoman"/>
      <w:lvlText w:val="%6."/>
      <w:lvlJc w:val="right"/>
      <w:pPr>
        <w:tabs>
          <w:tab w:val="num" w:pos="4069"/>
        </w:tabs>
        <w:ind w:left="4069" w:hanging="180"/>
      </w:pPr>
    </w:lvl>
    <w:lvl w:ilvl="6" w:tplc="0409000F" w:tentative="1">
      <w:start w:val="1"/>
      <w:numFmt w:val="decimal"/>
      <w:lvlText w:val="%7."/>
      <w:lvlJc w:val="left"/>
      <w:pPr>
        <w:tabs>
          <w:tab w:val="num" w:pos="4789"/>
        </w:tabs>
        <w:ind w:left="4789" w:hanging="360"/>
      </w:pPr>
    </w:lvl>
    <w:lvl w:ilvl="7" w:tplc="04090019" w:tentative="1">
      <w:start w:val="1"/>
      <w:numFmt w:val="lowerLetter"/>
      <w:lvlText w:val="%8."/>
      <w:lvlJc w:val="left"/>
      <w:pPr>
        <w:tabs>
          <w:tab w:val="num" w:pos="5509"/>
        </w:tabs>
        <w:ind w:left="5509" w:hanging="360"/>
      </w:pPr>
    </w:lvl>
    <w:lvl w:ilvl="8" w:tplc="0409001B" w:tentative="1">
      <w:start w:val="1"/>
      <w:numFmt w:val="lowerRoman"/>
      <w:lvlText w:val="%9."/>
      <w:lvlJc w:val="right"/>
      <w:pPr>
        <w:tabs>
          <w:tab w:val="num" w:pos="6229"/>
        </w:tabs>
        <w:ind w:left="6229" w:hanging="180"/>
      </w:pPr>
    </w:lvl>
  </w:abstractNum>
  <w:abstractNum w:abstractNumId="5">
    <w:nsid w:val="66535CE8"/>
    <w:multiLevelType w:val="hybridMultilevel"/>
    <w:tmpl w:val="E9561E30"/>
    <w:lvl w:ilvl="0" w:tplc="EE280BDA">
      <w:start w:val="2"/>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68734FCC"/>
    <w:multiLevelType w:val="hybridMultilevel"/>
    <w:tmpl w:val="2AF45FF2"/>
    <w:lvl w:ilvl="0" w:tplc="B0D2EB6E">
      <w:numFmt w:val="bullet"/>
      <w:lvlText w:val="-"/>
      <w:lvlJc w:val="left"/>
      <w:pPr>
        <w:tabs>
          <w:tab w:val="num" w:pos="2160"/>
        </w:tabs>
        <w:ind w:left="216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95512A"/>
    <w:multiLevelType w:val="hybridMultilevel"/>
    <w:tmpl w:val="05E2F1A2"/>
    <w:lvl w:ilvl="0" w:tplc="6114D322">
      <w:start w:val="1"/>
      <w:numFmt w:val="bullet"/>
      <w:lvlText w:val=""/>
      <w:lvlJc w:val="left"/>
      <w:pPr>
        <w:tabs>
          <w:tab w:val="num" w:pos="502"/>
        </w:tabs>
        <w:ind w:left="502" w:hanging="360"/>
      </w:pPr>
      <w:rPr>
        <w:rFonts w:ascii="Wingdings" w:hAnsi="Wingdings" w:hint="default"/>
        <w:color w:val="808080"/>
      </w:rPr>
    </w:lvl>
    <w:lvl w:ilvl="1" w:tplc="04090003">
      <w:start w:val="1"/>
      <w:numFmt w:val="bullet"/>
      <w:lvlText w:val="o"/>
      <w:lvlJc w:val="left"/>
      <w:pPr>
        <w:tabs>
          <w:tab w:val="num" w:pos="-578"/>
        </w:tabs>
        <w:ind w:left="-578" w:hanging="360"/>
      </w:pPr>
      <w:rPr>
        <w:rFonts w:ascii="Courier New" w:hAnsi="Courier New" w:cs="Times New Roman" w:hint="default"/>
      </w:rPr>
    </w:lvl>
    <w:lvl w:ilvl="2" w:tplc="04090005">
      <w:start w:val="1"/>
      <w:numFmt w:val="bullet"/>
      <w:lvlText w:val=""/>
      <w:lvlJc w:val="left"/>
      <w:pPr>
        <w:tabs>
          <w:tab w:val="num" w:pos="142"/>
        </w:tabs>
        <w:ind w:left="142" w:hanging="360"/>
      </w:pPr>
      <w:rPr>
        <w:rFonts w:ascii="Wingdings" w:hAnsi="Wingdings" w:hint="default"/>
      </w:rPr>
    </w:lvl>
    <w:lvl w:ilvl="3" w:tplc="04090001">
      <w:start w:val="1"/>
      <w:numFmt w:val="bullet"/>
      <w:lvlText w:val=""/>
      <w:lvlJc w:val="left"/>
      <w:pPr>
        <w:tabs>
          <w:tab w:val="num" w:pos="862"/>
        </w:tabs>
        <w:ind w:left="862" w:hanging="360"/>
      </w:pPr>
      <w:rPr>
        <w:rFonts w:ascii="Symbol" w:hAnsi="Symbol" w:hint="default"/>
      </w:rPr>
    </w:lvl>
    <w:lvl w:ilvl="4" w:tplc="04090003">
      <w:start w:val="1"/>
      <w:numFmt w:val="bullet"/>
      <w:lvlText w:val="o"/>
      <w:lvlJc w:val="left"/>
      <w:pPr>
        <w:tabs>
          <w:tab w:val="num" w:pos="1582"/>
        </w:tabs>
        <w:ind w:left="1582" w:hanging="360"/>
      </w:pPr>
      <w:rPr>
        <w:rFonts w:ascii="Courier New" w:hAnsi="Courier New" w:cs="Times New Roman" w:hint="default"/>
      </w:rPr>
    </w:lvl>
    <w:lvl w:ilvl="5" w:tplc="04090005">
      <w:start w:val="1"/>
      <w:numFmt w:val="bullet"/>
      <w:lvlText w:val=""/>
      <w:lvlJc w:val="left"/>
      <w:pPr>
        <w:tabs>
          <w:tab w:val="num" w:pos="2302"/>
        </w:tabs>
        <w:ind w:left="2302" w:hanging="360"/>
      </w:pPr>
      <w:rPr>
        <w:rFonts w:ascii="Wingdings" w:hAnsi="Wingdings" w:hint="default"/>
      </w:rPr>
    </w:lvl>
    <w:lvl w:ilvl="6" w:tplc="04090001">
      <w:start w:val="1"/>
      <w:numFmt w:val="bullet"/>
      <w:lvlText w:val=""/>
      <w:lvlJc w:val="left"/>
      <w:pPr>
        <w:tabs>
          <w:tab w:val="num" w:pos="3022"/>
        </w:tabs>
        <w:ind w:left="3022" w:hanging="360"/>
      </w:pPr>
      <w:rPr>
        <w:rFonts w:ascii="Symbol" w:hAnsi="Symbol" w:hint="default"/>
      </w:rPr>
    </w:lvl>
    <w:lvl w:ilvl="7" w:tplc="04090003">
      <w:start w:val="1"/>
      <w:numFmt w:val="bullet"/>
      <w:lvlText w:val="o"/>
      <w:lvlJc w:val="left"/>
      <w:pPr>
        <w:tabs>
          <w:tab w:val="num" w:pos="3742"/>
        </w:tabs>
        <w:ind w:left="3742" w:hanging="360"/>
      </w:pPr>
      <w:rPr>
        <w:rFonts w:ascii="Courier New" w:hAnsi="Courier New" w:cs="Times New Roman" w:hint="default"/>
      </w:rPr>
    </w:lvl>
    <w:lvl w:ilvl="8" w:tplc="04090005">
      <w:start w:val="1"/>
      <w:numFmt w:val="bullet"/>
      <w:lvlText w:val=""/>
      <w:lvlJc w:val="left"/>
      <w:pPr>
        <w:tabs>
          <w:tab w:val="num" w:pos="4462"/>
        </w:tabs>
        <w:ind w:left="4462"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6"/>
  </w:num>
  <w:num w:numId="6">
    <w:abstractNumId w:val="5"/>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74"/>
    <w:rsid w:val="000024AB"/>
    <w:rsid w:val="00011DBE"/>
    <w:rsid w:val="00073206"/>
    <w:rsid w:val="000A426B"/>
    <w:rsid w:val="000F2B1E"/>
    <w:rsid w:val="00152806"/>
    <w:rsid w:val="001571E5"/>
    <w:rsid w:val="00174F2C"/>
    <w:rsid w:val="001F23D6"/>
    <w:rsid w:val="00254D30"/>
    <w:rsid w:val="002D3813"/>
    <w:rsid w:val="002F19EA"/>
    <w:rsid w:val="003457E5"/>
    <w:rsid w:val="00347756"/>
    <w:rsid w:val="00353D86"/>
    <w:rsid w:val="003B0DA1"/>
    <w:rsid w:val="003B2741"/>
    <w:rsid w:val="00415FCF"/>
    <w:rsid w:val="00421F4E"/>
    <w:rsid w:val="00433A86"/>
    <w:rsid w:val="00461F4C"/>
    <w:rsid w:val="004978B1"/>
    <w:rsid w:val="004A1C74"/>
    <w:rsid w:val="004B6D37"/>
    <w:rsid w:val="004C397F"/>
    <w:rsid w:val="004E78C8"/>
    <w:rsid w:val="00582F74"/>
    <w:rsid w:val="005B495B"/>
    <w:rsid w:val="006220B5"/>
    <w:rsid w:val="00640A5D"/>
    <w:rsid w:val="00673E75"/>
    <w:rsid w:val="00711A14"/>
    <w:rsid w:val="007151A6"/>
    <w:rsid w:val="00734990"/>
    <w:rsid w:val="007C22F9"/>
    <w:rsid w:val="007C274F"/>
    <w:rsid w:val="007C59FC"/>
    <w:rsid w:val="007C6236"/>
    <w:rsid w:val="007E77FA"/>
    <w:rsid w:val="00825494"/>
    <w:rsid w:val="008A0002"/>
    <w:rsid w:val="00905CF3"/>
    <w:rsid w:val="00907854"/>
    <w:rsid w:val="00996F53"/>
    <w:rsid w:val="009A4581"/>
    <w:rsid w:val="009A5A66"/>
    <w:rsid w:val="009C14BB"/>
    <w:rsid w:val="009C35EC"/>
    <w:rsid w:val="009E19A2"/>
    <w:rsid w:val="00A05DE6"/>
    <w:rsid w:val="00A1471F"/>
    <w:rsid w:val="00A34780"/>
    <w:rsid w:val="00A616C8"/>
    <w:rsid w:val="00AA6251"/>
    <w:rsid w:val="00AE1373"/>
    <w:rsid w:val="00B646A7"/>
    <w:rsid w:val="00B64AB9"/>
    <w:rsid w:val="00B856FB"/>
    <w:rsid w:val="00BA1F67"/>
    <w:rsid w:val="00BE3B5D"/>
    <w:rsid w:val="00C31D2A"/>
    <w:rsid w:val="00C8251D"/>
    <w:rsid w:val="00D306CA"/>
    <w:rsid w:val="00D96DAE"/>
    <w:rsid w:val="00DE7318"/>
    <w:rsid w:val="00E1552D"/>
    <w:rsid w:val="00E359D9"/>
    <w:rsid w:val="00E71F30"/>
    <w:rsid w:val="00E82791"/>
    <w:rsid w:val="00E91D55"/>
    <w:rsid w:val="00EC3D5B"/>
    <w:rsid w:val="00EC6825"/>
    <w:rsid w:val="00ED45FC"/>
    <w:rsid w:val="00ED6E1F"/>
    <w:rsid w:val="00F27AC7"/>
    <w:rsid w:val="00F702C1"/>
    <w:rsid w:val="00FC3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B00A1-CC72-47A1-B583-A3AD5612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A6"/>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Fejléc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Fejléc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Normal1">
    <w:name w:val="Normal1"/>
    <w:basedOn w:val="Normal"/>
    <w:rsid w:val="007151A6"/>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7151A6"/>
    <w:pPr>
      <w:spacing w:before="0" w:after="0"/>
    </w:pPr>
    <w:rPr>
      <w:sz w:val="16"/>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7151A6"/>
    <w:rPr>
      <w:rFonts w:ascii="Trebuchet MS" w:hAnsi="Trebuchet MS"/>
      <w:sz w:val="16"/>
      <w:lang w:eastAsia="en-US"/>
    </w:rPr>
  </w:style>
  <w:style w:type="character" w:styleId="FootnoteReference">
    <w:name w:val="footnote reference"/>
    <w:aliases w:val="Footnote symbol"/>
    <w:semiHidden/>
    <w:rsid w:val="007151A6"/>
    <w:rPr>
      <w:vertAlign w:val="superscript"/>
    </w:rPr>
  </w:style>
  <w:style w:type="character" w:styleId="Hyperlink">
    <w:name w:val="Hyperlink"/>
    <w:rsid w:val="007151A6"/>
    <w:rPr>
      <w:color w:val="0000FF"/>
      <w:u w:val="single"/>
    </w:rPr>
  </w:style>
  <w:style w:type="paragraph" w:customStyle="1" w:styleId="bullet1">
    <w:name w:val="bullet1"/>
    <w:basedOn w:val="Normal"/>
    <w:rsid w:val="007151A6"/>
    <w:pPr>
      <w:numPr>
        <w:numId w:val="4"/>
      </w:numPr>
      <w:spacing w:before="40" w:after="40"/>
    </w:pPr>
  </w:style>
  <w:style w:type="character" w:customStyle="1" w:styleId="rvts7">
    <w:name w:val="rvts7"/>
    <w:basedOn w:val="DefaultParagraphFont"/>
    <w:rsid w:val="007151A6"/>
  </w:style>
  <w:style w:type="character" w:customStyle="1" w:styleId="rvts3">
    <w:name w:val="rvts3"/>
    <w:basedOn w:val="DefaultParagraphFont"/>
    <w:rsid w:val="007151A6"/>
  </w:style>
  <w:style w:type="character" w:customStyle="1" w:styleId="ln2tlitera">
    <w:name w:val="ln2tlitera"/>
    <w:basedOn w:val="DefaultParagraphFont"/>
    <w:rsid w:val="007151A6"/>
  </w:style>
  <w:style w:type="character" w:customStyle="1" w:styleId="ln2talineat">
    <w:name w:val="ln2talineat"/>
    <w:basedOn w:val="DefaultParagraphFont"/>
    <w:rsid w:val="007151A6"/>
  </w:style>
  <w:style w:type="paragraph" w:customStyle="1" w:styleId="CM1">
    <w:name w:val="CM1"/>
    <w:basedOn w:val="Normal"/>
    <w:next w:val="Normal"/>
    <w:uiPriority w:val="99"/>
    <w:rsid w:val="00C8251D"/>
    <w:pPr>
      <w:autoSpaceDE w:val="0"/>
      <w:autoSpaceDN w:val="0"/>
      <w:adjustRightInd w:val="0"/>
      <w:spacing w:before="0" w:after="0"/>
    </w:pPr>
    <w:rPr>
      <w:rFonts w:ascii="EUAlbertina" w:hAnsi="EUAlbertina"/>
      <w:sz w:val="24"/>
      <w:lang w:eastAsia="ro-RO"/>
    </w:rPr>
  </w:style>
  <w:style w:type="paragraph" w:customStyle="1" w:styleId="CM3">
    <w:name w:val="CM3"/>
    <w:basedOn w:val="Normal"/>
    <w:next w:val="Normal"/>
    <w:uiPriority w:val="99"/>
    <w:rsid w:val="00C8251D"/>
    <w:pPr>
      <w:autoSpaceDE w:val="0"/>
      <w:autoSpaceDN w:val="0"/>
      <w:adjustRightInd w:val="0"/>
      <w:spacing w:before="0" w:after="0"/>
    </w:pPr>
    <w:rPr>
      <w:rFonts w:ascii="EUAlbertina" w:hAnsi="EUAlbertina"/>
      <w:sz w:val="24"/>
      <w:lang w:eastAsia="ro-RO"/>
    </w:rPr>
  </w:style>
  <w:style w:type="character" w:customStyle="1" w:styleId="rvts9">
    <w:name w:val="rvts9"/>
    <w:basedOn w:val="DefaultParagraphFont"/>
    <w:rsid w:val="00EC3D5B"/>
  </w:style>
  <w:style w:type="character" w:customStyle="1" w:styleId="rvts6">
    <w:name w:val="rvts6"/>
    <w:basedOn w:val="DefaultParagraphFont"/>
    <w:rsid w:val="00EC3D5B"/>
  </w:style>
  <w:style w:type="paragraph" w:customStyle="1" w:styleId="marked">
    <w:name w:val="marked"/>
    <w:basedOn w:val="Normal"/>
    <w:rsid w:val="00EC3D5B"/>
    <w:pPr>
      <w:pBdr>
        <w:left w:val="single" w:sz="4" w:space="4" w:color="808080"/>
      </w:pBdr>
      <w:spacing w:before="60" w:after="60"/>
      <w:ind w:left="1620"/>
      <w:jc w:val="both"/>
    </w:pPr>
  </w:style>
  <w:style w:type="character" w:customStyle="1" w:styleId="rvts5">
    <w:name w:val="rvts5"/>
    <w:basedOn w:val="DefaultParagraphFont"/>
    <w:rsid w:val="00EC3D5B"/>
  </w:style>
  <w:style w:type="paragraph" w:styleId="NormalWeb">
    <w:name w:val="Normal (Web)"/>
    <w:basedOn w:val="Normal"/>
    <w:unhideWhenUsed/>
    <w:rsid w:val="00EC3D5B"/>
    <w:pPr>
      <w:spacing w:before="0" w:after="0"/>
    </w:pPr>
    <w:rPr>
      <w:rFonts w:ascii="Arial Unicode MS" w:hAnsi="Arial Unicode MS"/>
      <w:sz w:val="24"/>
      <w:lang w:val="en-US"/>
    </w:rPr>
  </w:style>
  <w:style w:type="paragraph" w:styleId="CommentText">
    <w:name w:val="annotation text"/>
    <w:basedOn w:val="Normal"/>
    <w:link w:val="CommentTextChar"/>
    <w:unhideWhenUsed/>
    <w:rsid w:val="00EC3D5B"/>
    <w:rPr>
      <w:szCs w:val="20"/>
    </w:rPr>
  </w:style>
  <w:style w:type="character" w:customStyle="1" w:styleId="CommentTextChar">
    <w:name w:val="Comment Text Char"/>
    <w:basedOn w:val="DefaultParagraphFont"/>
    <w:link w:val="CommentText"/>
    <w:rsid w:val="00EC3D5B"/>
    <w:rPr>
      <w:rFonts w:ascii="Trebuchet MS" w:hAnsi="Trebuchet MS"/>
      <w:lang w:eastAsia="en-US"/>
    </w:rPr>
  </w:style>
  <w:style w:type="paragraph" w:customStyle="1" w:styleId="numbers">
    <w:name w:val="numbers"/>
    <w:basedOn w:val="Normal"/>
    <w:semiHidden/>
    <w:rsid w:val="00EC3D5B"/>
    <w:pPr>
      <w:tabs>
        <w:tab w:val="num" w:pos="360"/>
      </w:tabs>
      <w:spacing w:before="0" w:after="0"/>
    </w:pPr>
    <w:rPr>
      <w:rFonts w:ascii="Times New Roman" w:hAnsi="Times New Roman"/>
      <w:sz w:val="24"/>
      <w:szCs w:val="20"/>
      <w:lang w:eastAsia="ro-RO"/>
    </w:rPr>
  </w:style>
  <w:style w:type="character" w:customStyle="1" w:styleId="def">
    <w:name w:val="def"/>
    <w:basedOn w:val="DefaultParagraphFont"/>
    <w:rsid w:val="00EC3D5B"/>
  </w:style>
  <w:style w:type="character" w:customStyle="1" w:styleId="rvts10">
    <w:name w:val="rvts10"/>
    <w:basedOn w:val="DefaultParagraphFont"/>
    <w:rsid w:val="00EC3D5B"/>
  </w:style>
  <w:style w:type="character" w:customStyle="1" w:styleId="rvts12">
    <w:name w:val="rvts12"/>
    <w:basedOn w:val="DefaultParagraphFont"/>
    <w:rsid w:val="00EC3D5B"/>
  </w:style>
  <w:style w:type="character" w:customStyle="1" w:styleId="style11">
    <w:name w:val="style11"/>
    <w:basedOn w:val="DefaultParagraphFont"/>
    <w:rsid w:val="00EC3D5B"/>
    <w:rPr>
      <w:rFonts w:ascii="Verdana" w:hAnsi="Verdana" w:hint="default"/>
      <w:sz w:val="18"/>
      <w:szCs w:val="18"/>
    </w:rPr>
  </w:style>
  <w:style w:type="character" w:styleId="CommentReference">
    <w:name w:val="annotation reference"/>
    <w:basedOn w:val="DefaultParagraphFont"/>
    <w:uiPriority w:val="99"/>
    <w:semiHidden/>
    <w:unhideWhenUsed/>
    <w:rsid w:val="00F27AC7"/>
    <w:rPr>
      <w:sz w:val="16"/>
      <w:szCs w:val="16"/>
    </w:rPr>
  </w:style>
  <w:style w:type="paragraph" w:styleId="CommentSubject">
    <w:name w:val="annotation subject"/>
    <w:basedOn w:val="CommentText"/>
    <w:next w:val="CommentText"/>
    <w:link w:val="CommentSubjectChar"/>
    <w:uiPriority w:val="99"/>
    <w:semiHidden/>
    <w:unhideWhenUsed/>
    <w:rsid w:val="00F27AC7"/>
    <w:rPr>
      <w:b/>
      <w:bCs/>
    </w:rPr>
  </w:style>
  <w:style w:type="character" w:customStyle="1" w:styleId="CommentSubjectChar">
    <w:name w:val="Comment Subject Char"/>
    <w:basedOn w:val="CommentTextChar"/>
    <w:link w:val="CommentSubject"/>
    <w:uiPriority w:val="99"/>
    <w:semiHidden/>
    <w:rsid w:val="00F27AC7"/>
    <w:rPr>
      <w:rFonts w:ascii="Trebuchet MS" w:hAnsi="Trebuchet MS"/>
      <w:b/>
      <w:bCs/>
      <w:lang w:eastAsia="en-US"/>
    </w:rPr>
  </w:style>
  <w:style w:type="paragraph" w:styleId="BalloonText">
    <w:name w:val="Balloon Text"/>
    <w:basedOn w:val="Normal"/>
    <w:link w:val="BalloonTextChar"/>
    <w:uiPriority w:val="99"/>
    <w:semiHidden/>
    <w:unhideWhenUsed/>
    <w:rsid w:val="00F27A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C7"/>
    <w:rPr>
      <w:rFonts w:ascii="Tahoma" w:hAnsi="Tahoma" w:cs="Tahoma"/>
      <w:sz w:val="16"/>
      <w:szCs w:val="16"/>
      <w:lang w:eastAsia="en-US"/>
    </w:rPr>
  </w:style>
  <w:style w:type="paragraph" w:styleId="Header">
    <w:name w:val="header"/>
    <w:basedOn w:val="Normal"/>
    <w:link w:val="HeaderChar"/>
    <w:uiPriority w:val="99"/>
    <w:unhideWhenUsed/>
    <w:rsid w:val="00A616C8"/>
    <w:pPr>
      <w:tabs>
        <w:tab w:val="center" w:pos="4536"/>
        <w:tab w:val="right" w:pos="9072"/>
      </w:tabs>
      <w:spacing w:before="0" w:after="0"/>
    </w:pPr>
  </w:style>
  <w:style w:type="character" w:customStyle="1" w:styleId="HeaderChar">
    <w:name w:val="Header Char"/>
    <w:basedOn w:val="DefaultParagraphFont"/>
    <w:link w:val="Header"/>
    <w:uiPriority w:val="99"/>
    <w:rsid w:val="00A616C8"/>
    <w:rPr>
      <w:rFonts w:ascii="Trebuchet MS" w:hAnsi="Trebuchet MS"/>
      <w:szCs w:val="24"/>
      <w:lang w:eastAsia="en-US"/>
    </w:rPr>
  </w:style>
  <w:style w:type="paragraph" w:styleId="Footer">
    <w:name w:val="footer"/>
    <w:basedOn w:val="Normal"/>
    <w:link w:val="FooterChar"/>
    <w:uiPriority w:val="99"/>
    <w:unhideWhenUsed/>
    <w:rsid w:val="00A616C8"/>
    <w:pPr>
      <w:tabs>
        <w:tab w:val="center" w:pos="4536"/>
        <w:tab w:val="right" w:pos="9072"/>
      </w:tabs>
      <w:spacing w:before="0" w:after="0"/>
    </w:pPr>
  </w:style>
  <w:style w:type="character" w:customStyle="1" w:styleId="FooterChar">
    <w:name w:val="Footer Char"/>
    <w:basedOn w:val="DefaultParagraphFont"/>
    <w:link w:val="Footer"/>
    <w:uiPriority w:val="99"/>
    <w:rsid w:val="00A616C8"/>
    <w:rPr>
      <w:rFonts w:ascii="Trebuchet MS" w:hAnsi="Trebuchet MS"/>
      <w:szCs w:val="24"/>
      <w:lang w:eastAsia="en-US"/>
    </w:rPr>
  </w:style>
  <w:style w:type="paragraph" w:customStyle="1" w:styleId="alignmentl">
    <w:name w:val="alignment_l"/>
    <w:basedOn w:val="Normal"/>
    <w:rsid w:val="004978B1"/>
    <w:pPr>
      <w:spacing w:before="100" w:beforeAutospacing="1" w:after="100" w:afterAutospacing="1"/>
    </w:pPr>
    <w:rPr>
      <w:rFonts w:ascii="Times New Roman" w:hAnsi="Times New Roman"/>
      <w:sz w:val="24"/>
      <w:lang w:val="en-US"/>
    </w:rPr>
  </w:style>
  <w:style w:type="paragraph" w:customStyle="1" w:styleId="CM4">
    <w:name w:val="CM4"/>
    <w:basedOn w:val="Normal"/>
    <w:next w:val="Normal"/>
    <w:uiPriority w:val="99"/>
    <w:rsid w:val="00ED6E1F"/>
    <w:pPr>
      <w:autoSpaceDE w:val="0"/>
      <w:autoSpaceDN w:val="0"/>
      <w:adjustRightInd w:val="0"/>
      <w:spacing w:before="0" w:after="0"/>
    </w:pPr>
    <w:rPr>
      <w:rFonts w:ascii="EUAlbertina" w:hAnsi="EUAlbertina"/>
      <w:sz w:val="24"/>
      <w:lang w:eastAsia="ro-RO"/>
    </w:rPr>
  </w:style>
  <w:style w:type="paragraph" w:styleId="Revision">
    <w:name w:val="Revision"/>
    <w:hidden/>
    <w:uiPriority w:val="99"/>
    <w:semiHidden/>
    <w:rsid w:val="000A426B"/>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8754">
      <w:bodyDiv w:val="1"/>
      <w:marLeft w:val="0"/>
      <w:marRight w:val="0"/>
      <w:marTop w:val="0"/>
      <w:marBottom w:val="0"/>
      <w:divBdr>
        <w:top w:val="none" w:sz="0" w:space="0" w:color="auto"/>
        <w:left w:val="none" w:sz="0" w:space="0" w:color="auto"/>
        <w:bottom w:val="none" w:sz="0" w:space="0" w:color="auto"/>
        <w:right w:val="none" w:sz="0" w:space="0" w:color="auto"/>
      </w:divBdr>
    </w:div>
    <w:div w:id="312179109">
      <w:bodyDiv w:val="1"/>
      <w:marLeft w:val="0"/>
      <w:marRight w:val="0"/>
      <w:marTop w:val="0"/>
      <w:marBottom w:val="0"/>
      <w:divBdr>
        <w:top w:val="none" w:sz="0" w:space="0" w:color="auto"/>
        <w:left w:val="none" w:sz="0" w:space="0" w:color="auto"/>
        <w:bottom w:val="none" w:sz="0" w:space="0" w:color="auto"/>
        <w:right w:val="none" w:sz="0" w:space="0" w:color="auto"/>
      </w:divBdr>
    </w:div>
    <w:div w:id="647131654">
      <w:bodyDiv w:val="1"/>
      <w:marLeft w:val="0"/>
      <w:marRight w:val="0"/>
      <w:marTop w:val="0"/>
      <w:marBottom w:val="0"/>
      <w:divBdr>
        <w:top w:val="none" w:sz="0" w:space="0" w:color="auto"/>
        <w:left w:val="none" w:sz="0" w:space="0" w:color="auto"/>
        <w:bottom w:val="none" w:sz="0" w:space="0" w:color="auto"/>
        <w:right w:val="none" w:sz="0" w:space="0" w:color="auto"/>
      </w:divBdr>
    </w:div>
    <w:div w:id="1065253007">
      <w:bodyDiv w:val="1"/>
      <w:marLeft w:val="0"/>
      <w:marRight w:val="0"/>
      <w:marTop w:val="0"/>
      <w:marBottom w:val="0"/>
      <w:divBdr>
        <w:top w:val="none" w:sz="0" w:space="0" w:color="auto"/>
        <w:left w:val="none" w:sz="0" w:space="0" w:color="auto"/>
        <w:bottom w:val="none" w:sz="0" w:space="0" w:color="auto"/>
        <w:right w:val="none" w:sz="0" w:space="0" w:color="auto"/>
      </w:divBdr>
    </w:div>
    <w:div w:id="1069235058">
      <w:bodyDiv w:val="1"/>
      <w:marLeft w:val="0"/>
      <w:marRight w:val="0"/>
      <w:marTop w:val="0"/>
      <w:marBottom w:val="0"/>
      <w:divBdr>
        <w:top w:val="none" w:sz="0" w:space="0" w:color="auto"/>
        <w:left w:val="none" w:sz="0" w:space="0" w:color="auto"/>
        <w:bottom w:val="none" w:sz="0" w:space="0" w:color="auto"/>
        <w:right w:val="none" w:sz="0" w:space="0" w:color="auto"/>
      </w:divBdr>
    </w:div>
    <w:div w:id="1270821387">
      <w:bodyDiv w:val="1"/>
      <w:marLeft w:val="0"/>
      <w:marRight w:val="0"/>
      <w:marTop w:val="0"/>
      <w:marBottom w:val="0"/>
      <w:divBdr>
        <w:top w:val="none" w:sz="0" w:space="0" w:color="auto"/>
        <w:left w:val="none" w:sz="0" w:space="0" w:color="auto"/>
        <w:bottom w:val="none" w:sz="0" w:space="0" w:color="auto"/>
        <w:right w:val="none" w:sz="0" w:space="0" w:color="auto"/>
      </w:divBdr>
    </w:div>
    <w:div w:id="19690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068B-E247-443B-926D-4F067B62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9037</Words>
  <Characters>52418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Simona Covrescu</cp:lastModifiedBy>
  <cp:revision>2</cp:revision>
  <dcterms:created xsi:type="dcterms:W3CDTF">2015-05-05T12:25:00Z</dcterms:created>
  <dcterms:modified xsi:type="dcterms:W3CDTF">2015-05-05T12:25:00Z</dcterms:modified>
</cp:coreProperties>
</file>